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DEDDF" w14:textId="5BCD9929" w:rsidR="00E94B1B" w:rsidRPr="006453D9" w:rsidRDefault="00E94B1B" w:rsidP="00E94B1B">
      <w:pPr>
        <w:pStyle w:val="MDPI11articletype"/>
      </w:pPr>
      <w:r w:rsidRPr="006453D9">
        <w:t>Article</w:t>
      </w:r>
    </w:p>
    <w:p w14:paraId="654B2FB1" w14:textId="4AA194CB" w:rsidR="00E94B1B" w:rsidRPr="003B1AF1" w:rsidRDefault="00E4604C" w:rsidP="00E94B1B">
      <w:pPr>
        <w:pStyle w:val="MDPI12title"/>
      </w:pPr>
      <w:r w:rsidRPr="00E4604C">
        <w:t>Depth</w:t>
      </w:r>
      <w:r w:rsidR="003A42EF">
        <w:t>–</w:t>
      </w:r>
      <w:r w:rsidR="00FE7ECD" w:rsidRPr="00E4604C">
        <w:t xml:space="preserve">Sequential Investigation </w:t>
      </w:r>
      <w:r w:rsidR="00FE7ECD">
        <w:t>o</w:t>
      </w:r>
      <w:r w:rsidR="00FE7ECD" w:rsidRPr="00E4604C">
        <w:t>f Major Ions, δ</w:t>
      </w:r>
      <w:r w:rsidR="00FE7ECD" w:rsidRPr="00E4604C">
        <w:rPr>
          <w:vertAlign w:val="superscript"/>
        </w:rPr>
        <w:t>18</w:t>
      </w:r>
      <w:r w:rsidR="00FE7ECD" w:rsidRPr="00E4604C">
        <w:t>o, δ</w:t>
      </w:r>
      <w:r w:rsidR="00FE7ECD" w:rsidRPr="00E4604C">
        <w:rPr>
          <w:vertAlign w:val="superscript"/>
        </w:rPr>
        <w:t>2</w:t>
      </w:r>
      <w:r w:rsidR="00FE7ECD" w:rsidRPr="00E4604C">
        <w:t xml:space="preserve">h </w:t>
      </w:r>
      <w:r w:rsidR="00FE7ECD">
        <w:t>a</w:t>
      </w:r>
      <w:r w:rsidR="00FE7ECD" w:rsidRPr="00E4604C">
        <w:t>nd δ</w:t>
      </w:r>
      <w:r w:rsidR="00FE7ECD" w:rsidRPr="00E4604C">
        <w:rPr>
          <w:vertAlign w:val="superscript"/>
        </w:rPr>
        <w:t>13</w:t>
      </w:r>
      <w:r w:rsidR="00FE7ECD">
        <w:t>C</w:t>
      </w:r>
      <w:r w:rsidR="00FE7ECD" w:rsidRPr="00E4604C">
        <w:t xml:space="preserve"> </w:t>
      </w:r>
      <w:r w:rsidR="00FE7ECD">
        <w:t>i</w:t>
      </w:r>
      <w:r w:rsidR="00FE7ECD" w:rsidRPr="00E4604C">
        <w:t xml:space="preserve">n Fractured Aquifers </w:t>
      </w:r>
      <w:r w:rsidR="00FE7ECD">
        <w:t>o</w:t>
      </w:r>
      <w:r w:rsidR="00FE7ECD" w:rsidRPr="00E4604C">
        <w:t xml:space="preserve">f </w:t>
      </w:r>
      <w:r w:rsidR="00FE7ECD">
        <w:t>t</w:t>
      </w:r>
      <w:r w:rsidR="00FE7ECD" w:rsidRPr="00E4604C">
        <w:t xml:space="preserve">he </w:t>
      </w:r>
      <w:r w:rsidRPr="00E4604C">
        <w:t>St</w:t>
      </w:r>
      <w:r w:rsidR="00FE7ECD" w:rsidRPr="00E4604C">
        <w:t>.</w:t>
      </w:r>
      <w:r w:rsidR="00FE7ECD" w:rsidRPr="00F039AD">
        <w:t xml:space="preserve"> </w:t>
      </w:r>
      <w:r w:rsidRPr="00E4604C">
        <w:t>Lawrence Lowlands</w:t>
      </w:r>
      <w:r w:rsidR="00F039AD">
        <w:t xml:space="preserve"> </w:t>
      </w:r>
      <w:r w:rsidR="00FE7ECD">
        <w:t>(</w:t>
      </w:r>
      <w:r w:rsidR="00AB2E7E">
        <w:t>Quebec</w:t>
      </w:r>
      <w:r w:rsidR="00FE7ECD">
        <w:t xml:space="preserve">, </w:t>
      </w:r>
      <w:r w:rsidR="00AB2E7E">
        <w:t>Canada</w:t>
      </w:r>
      <w:r w:rsidR="00FE7ECD">
        <w:t>)</w:t>
      </w:r>
      <w:r w:rsidR="00FE7ECD" w:rsidRPr="00E4604C">
        <w:t xml:space="preserve"> Using Passive Samplers</w:t>
      </w:r>
    </w:p>
    <w:p w14:paraId="05693519" w14:textId="369381A5" w:rsidR="00046F13" w:rsidRPr="004F190C" w:rsidRDefault="00E4604C" w:rsidP="00350275">
      <w:pPr>
        <w:pStyle w:val="MDPI13authornames"/>
      </w:pPr>
      <w:r w:rsidRPr="004F190C">
        <w:t>Guillaume Meyzonnat</w:t>
      </w:r>
      <w:r w:rsidR="00E94B1B" w:rsidRPr="004F190C">
        <w:t xml:space="preserve"> </w:t>
      </w:r>
      <w:proofErr w:type="gramStart"/>
      <w:r w:rsidR="00E94B1B" w:rsidRPr="004F190C">
        <w:rPr>
          <w:vertAlign w:val="superscript"/>
        </w:rPr>
        <w:t>1</w:t>
      </w:r>
      <w:r w:rsidRPr="004F190C">
        <w:rPr>
          <w:vertAlign w:val="superscript"/>
        </w:rPr>
        <w:t>,</w:t>
      </w:r>
      <w:r w:rsidRPr="004F190C">
        <w:t>*</w:t>
      </w:r>
      <w:proofErr w:type="gramEnd"/>
      <w:r w:rsidR="00E94B1B" w:rsidRPr="004F190C">
        <w:t xml:space="preserve">, </w:t>
      </w:r>
      <w:r w:rsidRPr="004F190C">
        <w:t xml:space="preserve">Florent </w:t>
      </w:r>
      <w:proofErr w:type="spellStart"/>
      <w:r w:rsidRPr="004F190C">
        <w:t>Barbecot</w:t>
      </w:r>
      <w:proofErr w:type="spellEnd"/>
      <w:r w:rsidR="00E94B1B" w:rsidRPr="004F190C">
        <w:t xml:space="preserve"> </w:t>
      </w:r>
      <w:r w:rsidR="00120142" w:rsidRPr="004F190C">
        <w:rPr>
          <w:vertAlign w:val="superscript"/>
        </w:rPr>
        <w:t>1</w:t>
      </w:r>
      <w:r w:rsidRPr="004F190C">
        <w:t xml:space="preserve">, José </w:t>
      </w:r>
      <w:proofErr w:type="spellStart"/>
      <w:r w:rsidRPr="004F190C">
        <w:t>Corcho</w:t>
      </w:r>
      <w:proofErr w:type="spellEnd"/>
      <w:r w:rsidRPr="004F190C">
        <w:t xml:space="preserve"> Alvarado </w:t>
      </w:r>
      <w:r w:rsidRPr="004F190C">
        <w:rPr>
          <w:vertAlign w:val="superscript"/>
        </w:rPr>
        <w:t>2</w:t>
      </w:r>
      <w:r w:rsidRPr="004F190C">
        <w:t xml:space="preserve">, Daniele Luigi </w:t>
      </w:r>
      <w:proofErr w:type="spellStart"/>
      <w:r w:rsidRPr="004F190C">
        <w:t>Pinti</w:t>
      </w:r>
      <w:proofErr w:type="spellEnd"/>
      <w:r w:rsidRPr="004F190C">
        <w:t xml:space="preserve"> </w:t>
      </w:r>
      <w:r w:rsidR="00120142" w:rsidRPr="004F190C">
        <w:rPr>
          <w:vertAlign w:val="superscript"/>
        </w:rPr>
        <w:t>1</w:t>
      </w:r>
      <w:r w:rsidRPr="004F190C">
        <w:t>, Jean</w:t>
      </w:r>
      <w:r w:rsidR="003A42EF" w:rsidRPr="004F190C">
        <w:t>–</w:t>
      </w:r>
      <w:r w:rsidRPr="004F190C">
        <w:t xml:space="preserve">Marc Lauzon </w:t>
      </w:r>
      <w:r w:rsidR="00120142" w:rsidRPr="004F190C">
        <w:rPr>
          <w:vertAlign w:val="superscript"/>
        </w:rPr>
        <w:t>3</w:t>
      </w:r>
      <w:r w:rsidRPr="004F190C">
        <w:t xml:space="preserve"> </w:t>
      </w:r>
      <w:r w:rsidR="00E94B1B" w:rsidRPr="004F190C">
        <w:t xml:space="preserve">and </w:t>
      </w:r>
      <w:proofErr w:type="spellStart"/>
      <w:r w:rsidRPr="004F190C">
        <w:t>Renald</w:t>
      </w:r>
      <w:proofErr w:type="spellEnd"/>
      <w:r w:rsidRPr="004F190C">
        <w:t xml:space="preserve"> McCormack</w:t>
      </w:r>
      <w:r w:rsidR="00E94B1B" w:rsidRPr="004F190C">
        <w:t xml:space="preserve"> </w:t>
      </w:r>
      <w:r w:rsidR="00120142" w:rsidRPr="004F190C">
        <w:rPr>
          <w:vertAlign w:val="superscript"/>
        </w:rPr>
        <w:t>4</w:t>
      </w:r>
    </w:p>
    <w:tbl>
      <w:tblPr>
        <w:tblpPr w:leftFromText="198" w:rightFromText="198" w:vertAnchor="page" w:horzAnchor="margin" w:tblpY="8504"/>
        <w:tblW w:w="2409" w:type="dxa"/>
        <w:tblLayout w:type="fixed"/>
        <w:tblCellMar>
          <w:left w:w="0" w:type="dxa"/>
          <w:right w:w="0" w:type="dxa"/>
        </w:tblCellMar>
        <w:tblLook w:val="04A0" w:firstRow="1" w:lastRow="0" w:firstColumn="1" w:lastColumn="0" w:noHBand="0" w:noVBand="1"/>
      </w:tblPr>
      <w:tblGrid>
        <w:gridCol w:w="2409"/>
      </w:tblGrid>
      <w:tr w:rsidR="00046F13" w:rsidRPr="004F190C" w14:paraId="32548880" w14:textId="77777777" w:rsidTr="007421A3">
        <w:trPr>
          <w:cantSplit/>
        </w:trPr>
        <w:tc>
          <w:tcPr>
            <w:tcW w:w="2409" w:type="dxa"/>
            <w:shd w:val="clear" w:color="auto" w:fill="auto"/>
          </w:tcPr>
          <w:p w14:paraId="538D3E76" w14:textId="630CD625" w:rsidR="00046F13" w:rsidRPr="004F190C" w:rsidRDefault="00046F13" w:rsidP="007421A3">
            <w:pPr>
              <w:pStyle w:val="MDPI61Citation"/>
              <w:rPr>
                <w:color w:val="000000"/>
              </w:rPr>
            </w:pPr>
            <w:r w:rsidRPr="004F190C">
              <w:rPr>
                <w:b/>
                <w:color w:val="000000"/>
              </w:rPr>
              <w:t>Citation:</w:t>
            </w:r>
            <w:r w:rsidRPr="004F190C">
              <w:rPr>
                <w:color w:val="000000"/>
              </w:rPr>
              <w:t xml:space="preserve"> Meyzonnat, G.; </w:t>
            </w:r>
            <w:proofErr w:type="spellStart"/>
            <w:r w:rsidRPr="004F190C">
              <w:rPr>
                <w:color w:val="000000"/>
              </w:rPr>
              <w:t>Barbecot</w:t>
            </w:r>
            <w:proofErr w:type="spellEnd"/>
            <w:r w:rsidRPr="004F190C">
              <w:rPr>
                <w:color w:val="000000"/>
              </w:rPr>
              <w:t xml:space="preserve">, F.; Alvarado, J.C.; </w:t>
            </w:r>
            <w:proofErr w:type="spellStart"/>
            <w:r w:rsidRPr="004F190C">
              <w:rPr>
                <w:color w:val="000000"/>
              </w:rPr>
              <w:t>Pinti</w:t>
            </w:r>
            <w:proofErr w:type="spellEnd"/>
            <w:r w:rsidRPr="004F190C">
              <w:rPr>
                <w:color w:val="000000"/>
              </w:rPr>
              <w:t>, D.L.; Lauzon, J.</w:t>
            </w:r>
            <w:r w:rsidR="002529A5" w:rsidRPr="004F190C">
              <w:rPr>
                <w:color w:val="000000"/>
              </w:rPr>
              <w:t>–</w:t>
            </w:r>
            <w:r w:rsidRPr="004F190C">
              <w:rPr>
                <w:color w:val="000000"/>
              </w:rPr>
              <w:t>M.; McCormack, R. Depth</w:t>
            </w:r>
            <w:r w:rsidR="002529A5" w:rsidRPr="004F190C">
              <w:rPr>
                <w:color w:val="000000"/>
              </w:rPr>
              <w:t>–</w:t>
            </w:r>
            <w:r w:rsidRPr="004F190C">
              <w:rPr>
                <w:color w:val="000000"/>
              </w:rPr>
              <w:t>Sequential Investigation of Major Ions, δ</w:t>
            </w:r>
            <w:r w:rsidRPr="004F190C">
              <w:rPr>
                <w:color w:val="000000"/>
                <w:vertAlign w:val="superscript"/>
              </w:rPr>
              <w:t>18</w:t>
            </w:r>
            <w:r w:rsidRPr="004F190C">
              <w:rPr>
                <w:color w:val="000000"/>
              </w:rPr>
              <w:t>o, δ</w:t>
            </w:r>
            <w:r w:rsidRPr="004F190C">
              <w:rPr>
                <w:color w:val="000000"/>
                <w:vertAlign w:val="superscript"/>
              </w:rPr>
              <w:t>2</w:t>
            </w:r>
            <w:r w:rsidRPr="004F190C">
              <w:rPr>
                <w:color w:val="000000"/>
              </w:rPr>
              <w:t>h and δ</w:t>
            </w:r>
            <w:r w:rsidRPr="004F190C">
              <w:rPr>
                <w:color w:val="000000"/>
                <w:vertAlign w:val="superscript"/>
              </w:rPr>
              <w:t>13</w:t>
            </w:r>
            <w:r w:rsidRPr="004F190C">
              <w:rPr>
                <w:color w:val="000000"/>
              </w:rPr>
              <w:t xml:space="preserve">C in Fractured Aquifers of the St. Lawrence Lowlands (Quebec, Canada) Using Passive Samplers. </w:t>
            </w:r>
            <w:r w:rsidRPr="004F190C">
              <w:rPr>
                <w:i/>
                <w:color w:val="000000"/>
              </w:rPr>
              <w:t xml:space="preserve">Water </w:t>
            </w:r>
            <w:r w:rsidRPr="004F190C">
              <w:rPr>
                <w:b/>
                <w:color w:val="000000"/>
              </w:rPr>
              <w:t>2021</w:t>
            </w:r>
            <w:r w:rsidRPr="004F190C">
              <w:rPr>
                <w:color w:val="000000"/>
              </w:rPr>
              <w:t xml:space="preserve">, </w:t>
            </w:r>
            <w:r w:rsidRPr="004F190C">
              <w:rPr>
                <w:i/>
                <w:color w:val="000000"/>
              </w:rPr>
              <w:t>13</w:t>
            </w:r>
            <w:r w:rsidRPr="004F190C">
              <w:rPr>
                <w:color w:val="000000"/>
              </w:rPr>
              <w:t>, x. https://doi.org/10.3390/xxxxx</w:t>
            </w:r>
          </w:p>
          <w:p w14:paraId="2C7101F2" w14:textId="77777777" w:rsidR="009A2103" w:rsidRPr="004F190C" w:rsidRDefault="009A2103" w:rsidP="007421A3">
            <w:pPr>
              <w:pStyle w:val="MDPI14history"/>
            </w:pPr>
          </w:p>
          <w:p w14:paraId="6BEF12BE" w14:textId="697E46DA" w:rsidR="00046F13" w:rsidRPr="004F190C" w:rsidRDefault="00046F13" w:rsidP="007421A3">
            <w:pPr>
              <w:pStyle w:val="MDPI14history"/>
            </w:pPr>
            <w:r w:rsidRPr="004F190C">
              <w:t>Received: date</w:t>
            </w:r>
          </w:p>
          <w:p w14:paraId="49CEAB46" w14:textId="77777777" w:rsidR="00046F13" w:rsidRPr="004F190C" w:rsidRDefault="00046F13" w:rsidP="007421A3">
            <w:pPr>
              <w:pStyle w:val="MDPI14history"/>
            </w:pPr>
            <w:r w:rsidRPr="004F190C">
              <w:t>Accepted: date</w:t>
            </w:r>
          </w:p>
          <w:p w14:paraId="06BF9E14" w14:textId="77777777" w:rsidR="00046F13" w:rsidRPr="004F190C" w:rsidRDefault="00046F13" w:rsidP="007421A3">
            <w:pPr>
              <w:pStyle w:val="MDPI14history"/>
              <w:spacing w:after="240"/>
            </w:pPr>
            <w:r w:rsidRPr="004F190C">
              <w:t>Published: date</w:t>
            </w:r>
          </w:p>
          <w:p w14:paraId="4B718700" w14:textId="77777777" w:rsidR="00046F13" w:rsidRPr="004F190C" w:rsidRDefault="00046F13" w:rsidP="007421A3">
            <w:pPr>
              <w:pStyle w:val="MDPI63Notes"/>
              <w:spacing w:after="0"/>
              <w:jc w:val="both"/>
            </w:pPr>
            <w:r w:rsidRPr="004F190C">
              <w:rPr>
                <w:b/>
              </w:rPr>
              <w:t>Publisher’s Note:</w:t>
            </w:r>
            <w:r w:rsidRPr="004F190C">
              <w:t xml:space="preserve"> MDPI stays neutral </w:t>
            </w:r>
            <w:proofErr w:type="gramStart"/>
            <w:r w:rsidRPr="004F190C">
              <w:t>with regard to</w:t>
            </w:r>
            <w:proofErr w:type="gramEnd"/>
            <w:r w:rsidRPr="004F190C">
              <w:t xml:space="preserve"> jurisdictional claims in published maps and institutional affiliations.</w:t>
            </w:r>
          </w:p>
          <w:p w14:paraId="3F8879DA" w14:textId="296012F5" w:rsidR="00046F13" w:rsidRPr="004F190C" w:rsidRDefault="00FE5916" w:rsidP="007421A3">
            <w:pPr>
              <w:pStyle w:val="MDPI63Notes"/>
              <w:spacing w:before="240" w:after="0"/>
              <w:jc w:val="both"/>
            </w:pPr>
            <w:r w:rsidRPr="004F190C">
              <w:rPr>
                <w:noProof/>
              </w:rPr>
              <w:drawing>
                <wp:inline distT="0" distB="0" distL="0" distR="0" wp14:anchorId="7AAC499B" wp14:editId="4FD7EB06">
                  <wp:extent cx="693420" cy="2514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20" cy="251460"/>
                          </a:xfrm>
                          <a:prstGeom prst="rect">
                            <a:avLst/>
                          </a:prstGeom>
                          <a:noFill/>
                          <a:ln>
                            <a:noFill/>
                          </a:ln>
                        </pic:spPr>
                      </pic:pic>
                    </a:graphicData>
                  </a:graphic>
                </wp:inline>
              </w:drawing>
            </w:r>
          </w:p>
          <w:p w14:paraId="5944754A" w14:textId="2D02E0D3" w:rsidR="00046F13" w:rsidRPr="004F190C" w:rsidRDefault="00046F13" w:rsidP="007421A3">
            <w:pPr>
              <w:pStyle w:val="MDPI63Notes"/>
              <w:spacing w:before="60" w:after="0"/>
              <w:jc w:val="both"/>
            </w:pPr>
            <w:r w:rsidRPr="004F190C">
              <w:rPr>
                <w:b/>
              </w:rPr>
              <w:t>Copyright:</w:t>
            </w:r>
            <w:r w:rsidRPr="004F190C">
              <w:t xml:space="preserve"> © 2021 by the authors. Submitted for possible open access publication under the terms and conditions of the Creative Commons Attribution (CC BY) license (http://creativecommons.org/licenses/by/4.0/).</w:t>
            </w:r>
          </w:p>
        </w:tc>
      </w:tr>
    </w:tbl>
    <w:p w14:paraId="34881DF1" w14:textId="64679E2F" w:rsidR="00E94B1B" w:rsidRPr="004F190C" w:rsidRDefault="00DD1AB8" w:rsidP="00E94B1B">
      <w:pPr>
        <w:pStyle w:val="MDPI16affiliation"/>
        <w:rPr>
          <w:lang w:val="en-CA"/>
        </w:rPr>
      </w:pPr>
      <w:r w:rsidRPr="004F190C">
        <w:rPr>
          <w:vertAlign w:val="superscript"/>
          <w:lang w:val="en-CA"/>
        </w:rPr>
        <w:t>1</w:t>
      </w:r>
      <w:r w:rsidR="00E94B1B" w:rsidRPr="004F190C">
        <w:rPr>
          <w:lang w:val="en-CA"/>
        </w:rPr>
        <w:tab/>
      </w:r>
      <w:r w:rsidR="00067F8C" w:rsidRPr="004F190C">
        <w:rPr>
          <w:lang w:val="en-CA"/>
        </w:rPr>
        <w:t xml:space="preserve">Centre </w:t>
      </w:r>
      <w:proofErr w:type="spellStart"/>
      <w:r w:rsidR="00E4604C" w:rsidRPr="004F190C">
        <w:rPr>
          <w:lang w:val="en-CA"/>
        </w:rPr>
        <w:t>Geotop</w:t>
      </w:r>
      <w:proofErr w:type="spellEnd"/>
      <w:r w:rsidR="00E4604C" w:rsidRPr="004F190C">
        <w:rPr>
          <w:lang w:val="en-CA"/>
        </w:rPr>
        <w:t>, Department of Earth and Atmospheric Sciences,</w:t>
      </w:r>
      <w:r w:rsidR="003958B6" w:rsidRPr="004F190C">
        <w:rPr>
          <w:lang w:val="en-CA"/>
        </w:rPr>
        <w:t xml:space="preserve"> Faculty of Sciences</w:t>
      </w:r>
      <w:r w:rsidR="00DD0229" w:rsidRPr="004F190C">
        <w:rPr>
          <w:lang w:val="en-CA"/>
        </w:rPr>
        <w:t xml:space="preserve">, </w:t>
      </w:r>
      <w:r w:rsidR="00263ED7" w:rsidRPr="004F190C">
        <w:rPr>
          <w:lang w:val="en-CA"/>
        </w:rPr>
        <w:t xml:space="preserve">University of Quebec in Montreal, </w:t>
      </w:r>
      <w:r w:rsidR="00E4604C" w:rsidRPr="004F190C">
        <w:rPr>
          <w:lang w:val="en-CA"/>
        </w:rPr>
        <w:t>Montreal</w:t>
      </w:r>
      <w:r w:rsidR="00DD0229" w:rsidRPr="004F190C">
        <w:rPr>
          <w:lang w:val="en-CA"/>
        </w:rPr>
        <w:t xml:space="preserve"> H3C 3P8, Q</w:t>
      </w:r>
      <w:r w:rsidR="00234006" w:rsidRPr="004F190C">
        <w:rPr>
          <w:lang w:val="en-CA"/>
        </w:rPr>
        <w:t>C</w:t>
      </w:r>
      <w:r w:rsidR="00E4604C" w:rsidRPr="004F190C">
        <w:rPr>
          <w:lang w:val="en-CA"/>
        </w:rPr>
        <w:t>, Canada</w:t>
      </w:r>
      <w:r w:rsidR="00067F8C" w:rsidRPr="004F190C">
        <w:rPr>
          <w:lang w:val="en-CA"/>
        </w:rPr>
        <w:t>;</w:t>
      </w:r>
      <w:r w:rsidR="003958B6" w:rsidRPr="004F190C">
        <w:rPr>
          <w:lang w:val="en-CA"/>
        </w:rPr>
        <w:t xml:space="preserve"> meyzonnat.guillaume@uqam.ca (G.M);</w:t>
      </w:r>
      <w:r w:rsidR="00067F8C" w:rsidRPr="004F190C">
        <w:rPr>
          <w:lang w:val="en-CA"/>
        </w:rPr>
        <w:t xml:space="preserve"> </w:t>
      </w:r>
      <w:r w:rsidR="0036520D" w:rsidRPr="004F190C">
        <w:rPr>
          <w:lang w:val="en-CA"/>
        </w:rPr>
        <w:t>barbecot.florent@uqam.ca (F.B.); pinti.daniele@uqam.ca (D.L.P.).</w:t>
      </w:r>
    </w:p>
    <w:p w14:paraId="64F172D3" w14:textId="6B620363" w:rsidR="00E94B1B" w:rsidRPr="004F190C" w:rsidRDefault="00E94B1B" w:rsidP="00E94B1B">
      <w:pPr>
        <w:pStyle w:val="MDPI16affiliation"/>
        <w:rPr>
          <w:lang w:val="en-CA"/>
        </w:rPr>
      </w:pPr>
      <w:r w:rsidRPr="004F190C">
        <w:rPr>
          <w:vertAlign w:val="superscript"/>
          <w:lang w:val="en-CA"/>
        </w:rPr>
        <w:t>2</w:t>
      </w:r>
      <w:r w:rsidRPr="004F190C">
        <w:rPr>
          <w:lang w:val="en-CA"/>
        </w:rPr>
        <w:tab/>
      </w:r>
      <w:proofErr w:type="spellStart"/>
      <w:r w:rsidR="00E4604C" w:rsidRPr="004F190C">
        <w:rPr>
          <w:lang w:val="en-CA"/>
        </w:rPr>
        <w:t>Spiez</w:t>
      </w:r>
      <w:proofErr w:type="spellEnd"/>
      <w:r w:rsidR="00E4604C" w:rsidRPr="004F190C">
        <w:rPr>
          <w:lang w:val="en-CA"/>
        </w:rPr>
        <w:t xml:space="preserve"> Laboratory, Federal Office for Civil Protection, </w:t>
      </w:r>
      <w:proofErr w:type="spellStart"/>
      <w:r w:rsidR="00E4604C" w:rsidRPr="004F190C">
        <w:rPr>
          <w:lang w:val="en-CA"/>
        </w:rPr>
        <w:t>Spiez</w:t>
      </w:r>
      <w:proofErr w:type="spellEnd"/>
      <w:r w:rsidR="00D30C99" w:rsidRPr="004F190C">
        <w:rPr>
          <w:lang w:val="en-CA"/>
        </w:rPr>
        <w:t xml:space="preserve"> 3700</w:t>
      </w:r>
      <w:r w:rsidR="00E4604C" w:rsidRPr="004F190C">
        <w:rPr>
          <w:lang w:val="en-CA"/>
        </w:rPr>
        <w:t>, Switzerland</w:t>
      </w:r>
      <w:r w:rsidR="000C0D4C" w:rsidRPr="004F190C">
        <w:rPr>
          <w:lang w:val="en-CA"/>
        </w:rPr>
        <w:t>; Jose.Corcho@babs.admin.ch.</w:t>
      </w:r>
    </w:p>
    <w:p w14:paraId="52E77C6E" w14:textId="183A6BC6" w:rsidR="00E4604C" w:rsidRPr="004F190C" w:rsidRDefault="00185012" w:rsidP="00E94B1B">
      <w:pPr>
        <w:pStyle w:val="MDPI16affiliation"/>
        <w:rPr>
          <w:lang w:val="en-CA"/>
        </w:rPr>
      </w:pPr>
      <w:r w:rsidRPr="004F190C">
        <w:rPr>
          <w:vertAlign w:val="superscript"/>
          <w:lang w:val="en-CA"/>
        </w:rPr>
        <w:t>3</w:t>
      </w:r>
      <w:r w:rsidR="00E4604C" w:rsidRPr="004F190C">
        <w:rPr>
          <w:lang w:val="en-CA"/>
        </w:rPr>
        <w:tab/>
      </w:r>
      <w:r w:rsidR="00120142" w:rsidRPr="004F190C">
        <w:rPr>
          <w:lang w:val="en-CA"/>
        </w:rPr>
        <w:t>TechnoRem Inc., Laval</w:t>
      </w:r>
      <w:r w:rsidR="003A7F96" w:rsidRPr="004F190C">
        <w:rPr>
          <w:lang w:val="en-CA"/>
        </w:rPr>
        <w:t xml:space="preserve"> H7P 6G5</w:t>
      </w:r>
      <w:r w:rsidR="00120142" w:rsidRPr="004F190C">
        <w:rPr>
          <w:lang w:val="en-CA"/>
        </w:rPr>
        <w:t xml:space="preserve">, </w:t>
      </w:r>
      <w:r w:rsidR="00234006" w:rsidRPr="004F190C">
        <w:rPr>
          <w:lang w:val="en-CA"/>
        </w:rPr>
        <w:t xml:space="preserve">QC, </w:t>
      </w:r>
      <w:r w:rsidR="00120142" w:rsidRPr="004F190C">
        <w:rPr>
          <w:lang w:val="en-CA"/>
        </w:rPr>
        <w:t>Canada</w:t>
      </w:r>
      <w:r w:rsidR="00046F13" w:rsidRPr="004F190C">
        <w:rPr>
          <w:lang w:val="en-CA"/>
        </w:rPr>
        <w:t>; jean</w:t>
      </w:r>
      <w:r w:rsidR="002529A5" w:rsidRPr="004F190C">
        <w:rPr>
          <w:lang w:val="en-CA"/>
        </w:rPr>
        <w:t>–</w:t>
      </w:r>
      <w:r w:rsidR="00046F13" w:rsidRPr="004F190C">
        <w:rPr>
          <w:lang w:val="en-CA"/>
        </w:rPr>
        <w:t>marc.lauzon@technorem.com.</w:t>
      </w:r>
    </w:p>
    <w:p w14:paraId="4D7EA854" w14:textId="429CC93E" w:rsidR="00120142" w:rsidRPr="004F190C" w:rsidRDefault="00185012" w:rsidP="00E94B1B">
      <w:pPr>
        <w:pStyle w:val="MDPI16affiliation"/>
        <w:rPr>
          <w:lang w:val="en-CA"/>
        </w:rPr>
      </w:pPr>
      <w:r w:rsidRPr="004F190C">
        <w:rPr>
          <w:vertAlign w:val="superscript"/>
          <w:lang w:val="en-CA"/>
        </w:rPr>
        <w:t>4</w:t>
      </w:r>
      <w:r w:rsidR="00120142" w:rsidRPr="004F190C">
        <w:rPr>
          <w:lang w:val="en-CA"/>
        </w:rPr>
        <w:tab/>
      </w:r>
      <w:proofErr w:type="spellStart"/>
      <w:r w:rsidR="00120142" w:rsidRPr="004F190C">
        <w:rPr>
          <w:lang w:val="en-CA"/>
        </w:rPr>
        <w:t>Envir’Eau</w:t>
      </w:r>
      <w:proofErr w:type="spellEnd"/>
      <w:r w:rsidR="002529A5" w:rsidRPr="004F190C">
        <w:rPr>
          <w:lang w:val="en-CA"/>
        </w:rPr>
        <w:t>–</w:t>
      </w:r>
      <w:proofErr w:type="spellStart"/>
      <w:r w:rsidR="00120142" w:rsidRPr="004F190C">
        <w:rPr>
          <w:lang w:val="en-CA"/>
        </w:rPr>
        <w:t>Puits</w:t>
      </w:r>
      <w:proofErr w:type="spellEnd"/>
      <w:r w:rsidR="00120142" w:rsidRPr="004F190C">
        <w:rPr>
          <w:lang w:val="en-CA"/>
        </w:rPr>
        <w:t xml:space="preserve"> Inc., </w:t>
      </w:r>
      <w:proofErr w:type="spellStart"/>
      <w:r w:rsidR="00120142" w:rsidRPr="004F190C">
        <w:rPr>
          <w:lang w:val="en-CA"/>
        </w:rPr>
        <w:t>L</w:t>
      </w:r>
      <w:r w:rsidR="000A705C" w:rsidRPr="004F190C">
        <w:rPr>
          <w:lang w:val="en-CA"/>
        </w:rPr>
        <w:t>é</w:t>
      </w:r>
      <w:r w:rsidR="00120142" w:rsidRPr="004F190C">
        <w:rPr>
          <w:lang w:val="en-CA"/>
        </w:rPr>
        <w:t>vis</w:t>
      </w:r>
      <w:proofErr w:type="spellEnd"/>
      <w:r w:rsidR="00E85854" w:rsidRPr="004F190C">
        <w:rPr>
          <w:lang w:val="en-CA"/>
        </w:rPr>
        <w:t xml:space="preserve"> </w:t>
      </w:r>
      <w:r w:rsidR="000C0D4C" w:rsidRPr="004F190C">
        <w:rPr>
          <w:lang w:val="en-CA"/>
        </w:rPr>
        <w:t>G7A 3V3</w:t>
      </w:r>
      <w:r w:rsidR="00120142" w:rsidRPr="004F190C">
        <w:rPr>
          <w:lang w:val="en-CA"/>
        </w:rPr>
        <w:t>,</w:t>
      </w:r>
      <w:r w:rsidR="000C0D4C" w:rsidRPr="004F190C">
        <w:rPr>
          <w:lang w:val="en-CA"/>
        </w:rPr>
        <w:t xml:space="preserve"> QC,</w:t>
      </w:r>
      <w:r w:rsidR="00120142" w:rsidRPr="004F190C">
        <w:rPr>
          <w:lang w:val="en-CA"/>
        </w:rPr>
        <w:t xml:space="preserve"> Canada</w:t>
      </w:r>
      <w:r w:rsidR="00046F13" w:rsidRPr="004F190C">
        <w:rPr>
          <w:lang w:val="en-CA"/>
        </w:rPr>
        <w:t>; rmccormack@envireaupuits.com.</w:t>
      </w:r>
    </w:p>
    <w:p w14:paraId="1DCF0569" w14:textId="28DBBDF8" w:rsidR="00E94B1B" w:rsidRPr="004F190C" w:rsidRDefault="00E94B1B" w:rsidP="00E94B1B">
      <w:pPr>
        <w:pStyle w:val="MDPI16affiliation"/>
        <w:rPr>
          <w:lang w:val="en-CA"/>
        </w:rPr>
      </w:pPr>
      <w:r w:rsidRPr="004F190C">
        <w:rPr>
          <w:lang w:val="en-CA"/>
        </w:rPr>
        <w:t>*</w:t>
      </w:r>
      <w:r w:rsidRPr="004F190C">
        <w:rPr>
          <w:lang w:val="en-CA"/>
        </w:rPr>
        <w:tab/>
        <w:t xml:space="preserve">Correspondence: </w:t>
      </w:r>
      <w:r w:rsidR="00E4604C" w:rsidRPr="004F190C">
        <w:rPr>
          <w:lang w:val="en-CA"/>
        </w:rPr>
        <w:t>meyzonnat.guillaume</w:t>
      </w:r>
      <w:r w:rsidRPr="004F190C">
        <w:rPr>
          <w:lang w:val="en-CA"/>
        </w:rPr>
        <w:t>@</w:t>
      </w:r>
      <w:r w:rsidR="00E4604C" w:rsidRPr="004F190C">
        <w:rPr>
          <w:lang w:val="en-CA"/>
        </w:rPr>
        <w:t>uqam</w:t>
      </w:r>
      <w:r w:rsidRPr="004F190C">
        <w:rPr>
          <w:lang w:val="en-CA"/>
        </w:rPr>
        <w:t>.c</w:t>
      </w:r>
      <w:r w:rsidR="00E4604C" w:rsidRPr="004F190C">
        <w:rPr>
          <w:lang w:val="en-CA"/>
        </w:rPr>
        <w:t>a</w:t>
      </w:r>
    </w:p>
    <w:p w14:paraId="2A0F512E" w14:textId="7DD44916" w:rsidR="00E94B1B" w:rsidRPr="00550626" w:rsidRDefault="00E94B1B" w:rsidP="00E94B1B">
      <w:pPr>
        <w:pStyle w:val="MDPI17abstract"/>
        <w:rPr>
          <w:szCs w:val="18"/>
        </w:rPr>
      </w:pPr>
      <w:r w:rsidRPr="004F190C">
        <w:rPr>
          <w:b/>
          <w:szCs w:val="18"/>
        </w:rPr>
        <w:t xml:space="preserve">Abstract: </w:t>
      </w:r>
      <w:r w:rsidR="000A705C" w:rsidRPr="004F190C">
        <w:rPr>
          <w:szCs w:val="18"/>
        </w:rPr>
        <w:t>General and isotopic geochemistry of groundwater</w:t>
      </w:r>
      <w:r w:rsidR="000A705C" w:rsidRPr="000A705C">
        <w:rPr>
          <w:szCs w:val="18"/>
        </w:rPr>
        <w:t xml:space="preserve"> is an essential tool to decipher hydrogeological contexts and flow paths. Different hydrogeochemical patterns may result from the inherent physical aquifer heterogeneity, which may go unnoticed without detailed investigations gathered from multilevel or multiple observation wells. An alternative to overcome the frequent unavailability of multiple wellbores at sites is to perform a</w:t>
      </w:r>
      <w:r w:rsidR="00AB2E7E">
        <w:rPr>
          <w:szCs w:val="18"/>
        </w:rPr>
        <w:t xml:space="preserve"> </w:t>
      </w:r>
      <w:r w:rsidR="000A705C" w:rsidRPr="000A705C">
        <w:rPr>
          <w:szCs w:val="18"/>
        </w:rPr>
        <w:t>detailed investigation on the single wellbore available. In this perspective, the aim of this study is to use passive sampler</w:t>
      </w:r>
      <w:r w:rsidR="005C3FA4">
        <w:rPr>
          <w:szCs w:val="18"/>
        </w:rPr>
        <w:t>s</w:t>
      </w:r>
      <w:r w:rsidR="000A705C" w:rsidRPr="000A705C">
        <w:rPr>
          <w:szCs w:val="18"/>
        </w:rPr>
        <w:t xml:space="preserve"> to sequentially collect groundwater at depths in long</w:t>
      </w:r>
      <w:r w:rsidR="002529A5">
        <w:rPr>
          <w:szCs w:val="18"/>
        </w:rPr>
        <w:t>–</w:t>
      </w:r>
      <w:r w:rsidR="000A705C" w:rsidRPr="000A705C">
        <w:rPr>
          <w:szCs w:val="18"/>
        </w:rPr>
        <w:t>screened wellbores. Such investigation is carried out for major ions and stable isotopes compositions (δ</w:t>
      </w:r>
      <w:r w:rsidR="000A705C" w:rsidRPr="000A705C">
        <w:rPr>
          <w:szCs w:val="18"/>
          <w:vertAlign w:val="superscript"/>
        </w:rPr>
        <w:t>2</w:t>
      </w:r>
      <w:r w:rsidR="000A705C" w:rsidRPr="000A705C">
        <w:rPr>
          <w:szCs w:val="18"/>
        </w:rPr>
        <w:t>H, δ</w:t>
      </w:r>
      <w:r w:rsidR="000A705C" w:rsidRPr="000A705C">
        <w:rPr>
          <w:szCs w:val="18"/>
          <w:vertAlign w:val="superscript"/>
        </w:rPr>
        <w:t>18</w:t>
      </w:r>
      <w:r w:rsidR="000A705C" w:rsidRPr="000A705C">
        <w:rPr>
          <w:szCs w:val="18"/>
        </w:rPr>
        <w:t>O, δ</w:t>
      </w:r>
      <w:r w:rsidR="000A705C" w:rsidRPr="000A705C">
        <w:rPr>
          <w:szCs w:val="18"/>
          <w:vertAlign w:val="superscript"/>
        </w:rPr>
        <w:t>13</w:t>
      </w:r>
      <w:r w:rsidR="000A705C" w:rsidRPr="000A705C">
        <w:rPr>
          <w:szCs w:val="18"/>
        </w:rPr>
        <w:t xml:space="preserve">C) at ten sites in the context of fractured carbonate aquifers of the St. Lawrence Lowlands (Quebec, Canada). The information gathered from the </w:t>
      </w:r>
      <w:proofErr w:type="spellStart"/>
      <w:r w:rsidR="000A705C" w:rsidRPr="000A705C">
        <w:rPr>
          <w:szCs w:val="18"/>
        </w:rPr>
        <w:t>calco</w:t>
      </w:r>
      <w:proofErr w:type="spellEnd"/>
      <w:r w:rsidR="002529A5">
        <w:rPr>
          <w:szCs w:val="18"/>
        </w:rPr>
        <w:t>–</w:t>
      </w:r>
      <w:r w:rsidR="000A705C" w:rsidRPr="000A705C">
        <w:rPr>
          <w:szCs w:val="18"/>
        </w:rPr>
        <w:t xml:space="preserve">carbonic system, </w:t>
      </w:r>
      <w:bookmarkStart w:id="0" w:name="_Hlk75330881"/>
      <w:r w:rsidR="000A705C" w:rsidRPr="000A705C">
        <w:rPr>
          <w:szCs w:val="18"/>
        </w:rPr>
        <w:t xml:space="preserve">major ions and stable isotopes </w:t>
      </w:r>
      <w:r w:rsidR="00AB2E7E">
        <w:rPr>
          <w:szCs w:val="18"/>
        </w:rPr>
        <w:t>report</w:t>
      </w:r>
      <w:r w:rsidR="000A705C" w:rsidRPr="000A705C">
        <w:rPr>
          <w:szCs w:val="18"/>
        </w:rPr>
        <w:t xml:space="preserve"> </w:t>
      </w:r>
      <w:r w:rsidR="00AB2E7E">
        <w:rPr>
          <w:szCs w:val="18"/>
        </w:rPr>
        <w:t xml:space="preserve">poorly </w:t>
      </w:r>
      <w:r w:rsidR="000A705C" w:rsidRPr="000A705C">
        <w:rPr>
          <w:szCs w:val="18"/>
        </w:rPr>
        <w:t>stratified and evolved groundwater bodies.</w:t>
      </w:r>
      <w:bookmarkEnd w:id="0"/>
      <w:r w:rsidR="000A705C" w:rsidRPr="000A705C">
        <w:rPr>
          <w:szCs w:val="18"/>
        </w:rPr>
        <w:t xml:space="preserve"> Contribution of water impacted by anthropogenic activities, such as road salts pollution and carbon sources from C4 vegetation, when they occur, are even observed at the greatest depths. Such observations suggest quick flow paths and efficient mixing conditions, which leads to significant contributions of contemporary groundwater bodies in the fractured aquifers investigated down to depths of about 100</w:t>
      </w:r>
      <w:r w:rsidR="00F039AD" w:rsidRPr="00F039AD">
        <w:rPr>
          <w:szCs w:val="18"/>
        </w:rPr>
        <w:t xml:space="preserve"> </w:t>
      </w:r>
      <w:r w:rsidR="000A705C" w:rsidRPr="000A705C">
        <w:rPr>
          <w:szCs w:val="18"/>
        </w:rPr>
        <w:t xml:space="preserve">m. Although physical aquifer investigation reported few and heterogeneously distributed fractures per wellbore, hydrogeochemical findings </w:t>
      </w:r>
      <w:r w:rsidR="00AB2E7E">
        <w:rPr>
          <w:szCs w:val="18"/>
        </w:rPr>
        <w:t>point to</w:t>
      </w:r>
      <w:r w:rsidR="000A705C" w:rsidRPr="000A705C">
        <w:rPr>
          <w:szCs w:val="18"/>
        </w:rPr>
        <w:t xml:space="preserve"> at overall well interconnected fracture networks in the aquifer and high vulnerability of groundwater, even at significant depths.</w:t>
      </w:r>
    </w:p>
    <w:p w14:paraId="28AA28DB" w14:textId="4F18BDEF" w:rsidR="00E94B1B" w:rsidRPr="00550626" w:rsidRDefault="00E94B1B" w:rsidP="00E94B1B">
      <w:pPr>
        <w:pStyle w:val="MDPI18keywords"/>
        <w:rPr>
          <w:szCs w:val="18"/>
        </w:rPr>
      </w:pPr>
      <w:r w:rsidRPr="00550626">
        <w:rPr>
          <w:b/>
          <w:szCs w:val="18"/>
        </w:rPr>
        <w:t xml:space="preserve">Keywords: </w:t>
      </w:r>
      <w:r w:rsidR="00046F13">
        <w:rPr>
          <w:szCs w:val="18"/>
        </w:rPr>
        <w:t>p</w:t>
      </w:r>
      <w:r w:rsidR="00D74F22" w:rsidRPr="00D74F22">
        <w:rPr>
          <w:szCs w:val="18"/>
        </w:rPr>
        <w:t xml:space="preserve">assive water sampling; </w:t>
      </w:r>
      <w:r w:rsidR="00046F13">
        <w:rPr>
          <w:szCs w:val="18"/>
        </w:rPr>
        <w:t>l</w:t>
      </w:r>
      <w:r w:rsidR="00D74F22" w:rsidRPr="00D74F22">
        <w:rPr>
          <w:szCs w:val="18"/>
        </w:rPr>
        <w:t xml:space="preserve">ong screened wellbore; </w:t>
      </w:r>
      <w:r w:rsidR="00046F13">
        <w:rPr>
          <w:szCs w:val="18"/>
        </w:rPr>
        <w:t>f</w:t>
      </w:r>
      <w:r w:rsidR="00D74F22" w:rsidRPr="00D74F22">
        <w:rPr>
          <w:szCs w:val="18"/>
        </w:rPr>
        <w:t xml:space="preserve">ractured aquifer; </w:t>
      </w:r>
      <w:r w:rsidR="00046F13">
        <w:rPr>
          <w:szCs w:val="18"/>
        </w:rPr>
        <w:t>m</w:t>
      </w:r>
      <w:r w:rsidR="00D74F22" w:rsidRPr="00D74F22">
        <w:rPr>
          <w:szCs w:val="18"/>
        </w:rPr>
        <w:t xml:space="preserve">ajor ions chemistry; </w:t>
      </w:r>
      <w:r w:rsidR="00046F13">
        <w:rPr>
          <w:szCs w:val="18"/>
        </w:rPr>
        <w:t>s</w:t>
      </w:r>
      <w:r w:rsidR="00D74F22" w:rsidRPr="00D74F22">
        <w:rPr>
          <w:szCs w:val="18"/>
        </w:rPr>
        <w:t xml:space="preserve">table isotopes of water and of carbon; St. Lawrence </w:t>
      </w:r>
      <w:r w:rsidR="00046F13">
        <w:rPr>
          <w:szCs w:val="18"/>
        </w:rPr>
        <w:t>l</w:t>
      </w:r>
      <w:r w:rsidR="00D74F22" w:rsidRPr="00D74F22">
        <w:rPr>
          <w:szCs w:val="18"/>
        </w:rPr>
        <w:t>owlands.</w:t>
      </w:r>
    </w:p>
    <w:p w14:paraId="22EE168D" w14:textId="77777777" w:rsidR="00E94B1B" w:rsidRPr="00550626" w:rsidRDefault="00E94B1B" w:rsidP="00E94B1B">
      <w:pPr>
        <w:pStyle w:val="MDPI19line"/>
      </w:pPr>
    </w:p>
    <w:p w14:paraId="335669E9" w14:textId="77777777" w:rsidR="00E94B1B" w:rsidRDefault="00E94B1B" w:rsidP="00E94B1B">
      <w:pPr>
        <w:pStyle w:val="MDPI21heading1"/>
        <w:rPr>
          <w:lang w:eastAsia="zh-CN"/>
        </w:rPr>
      </w:pPr>
      <w:r w:rsidRPr="007F2582">
        <w:rPr>
          <w:lang w:eastAsia="zh-CN"/>
        </w:rPr>
        <w:t>1. Introduction</w:t>
      </w:r>
    </w:p>
    <w:p w14:paraId="3C4C4C5D" w14:textId="7568BF1F" w:rsidR="00652BE8" w:rsidRDefault="00652BE8" w:rsidP="00652BE8">
      <w:pPr>
        <w:pStyle w:val="MDPI31text"/>
      </w:pPr>
      <w:r w:rsidRPr="00D44942">
        <w:t xml:space="preserve">The chemical and isotopic study of groundwater, usually termed </w:t>
      </w:r>
      <w:r w:rsidR="009A2103">
        <w:t>“</w:t>
      </w:r>
      <w:proofErr w:type="spellStart"/>
      <w:r w:rsidR="009A2103">
        <w:t>h</w:t>
      </w:r>
      <w:r w:rsidRPr="00D44942">
        <w:t>ydrogeochemistry</w:t>
      </w:r>
      <w:proofErr w:type="spellEnd"/>
      <w:r w:rsidR="009A2103">
        <w:t>”</w:t>
      </w:r>
      <w:r w:rsidRPr="00D44942">
        <w:t xml:space="preserve"> is an essential complement to physical studies to identify recharge and discharge zones, flow paths and water chemical evolution [1]. As it reflects inputs from recharge areas [2], as well as confinement conditions [3], </w:t>
      </w:r>
      <w:proofErr w:type="spellStart"/>
      <w:r w:rsidRPr="00D44942">
        <w:t>hydrogeochemistry</w:t>
      </w:r>
      <w:proofErr w:type="spellEnd"/>
      <w:r w:rsidRPr="00D44942">
        <w:t xml:space="preserve"> is also used in certain cases as a proxy for groundwater vulnerability [4]. </w:t>
      </w:r>
      <w:r w:rsidR="00CE1C60">
        <w:t xml:space="preserve">Yet, </w:t>
      </w:r>
      <w:proofErr w:type="spellStart"/>
      <w:r w:rsidRPr="00D44942">
        <w:t>hydrogeochemistry</w:t>
      </w:r>
      <w:proofErr w:type="spellEnd"/>
      <w:r w:rsidRPr="00D44942">
        <w:t xml:space="preserve"> studies suffer the same limitations as those in physical hydrology: flow path reconstructions or chemical evolution of water are often based on</w:t>
      </w:r>
      <w:r>
        <w:t xml:space="preserve"> limited spatial access to the aquifer, through the measurements, when available, in piezometers, water wells and natural sources. </w:t>
      </w:r>
      <w:r>
        <w:lastRenderedPageBreak/>
        <w:t>Measured physical and chemical parameters of groundwater from these sparse and limited locations are often assumed to represent the whole aquifer situation.</w:t>
      </w:r>
    </w:p>
    <w:p w14:paraId="561A4F12" w14:textId="69E8B04A" w:rsidR="00652BE8" w:rsidRDefault="00652BE8" w:rsidP="00652BE8">
      <w:pPr>
        <w:pStyle w:val="MDPI31text"/>
      </w:pPr>
      <w:r>
        <w:t xml:space="preserve">Recently, numerous hydrogeological regional studies </w:t>
      </w:r>
      <w:r w:rsidR="00AB2E7E">
        <w:t>were</w:t>
      </w:r>
      <w:r>
        <w:t xml:space="preserve"> held in Quebec [5], and most of them have focused on groundwater geochemistry </w:t>
      </w:r>
      <w:r w:rsidR="00F039AD">
        <w:t>[1,6–16</w:t>
      </w:r>
      <w:r>
        <w:t>]. These studies have considerably increased the amount of geochemical and isotopic data available for linking water composition and quality with confinement conditions at regional scale. However, as in most hydrogeochemical studies, conventional sampling was usually performed by collecting groundwater at the well discharge. Such sampling represents the mixture of water from all the productive intervals that may be present within a well, not allowing to discern if any chemical stratification is present. The reality is that aquifers are in most of the cases physically heterogeneous and may consequently contain chemically stratified groundwater, which may go unnoticed in the case of the conventional sampling. Chemical stratification is theoretically a</w:t>
      </w:r>
      <w:r w:rsidR="00B42193">
        <w:t>nticipated</w:t>
      </w:r>
      <w:r>
        <w:t xml:space="preserve"> according to hydraulic ages for homogeneous aquifers [17] and have been reported in real cases for homogeneous sandy aquifers </w:t>
      </w:r>
      <w:r w:rsidR="00F039AD">
        <w:t>[18,19</w:t>
      </w:r>
      <w:r>
        <w:t xml:space="preserve">]. Hydrogeochemical stratification is also reported in heterogeneous contexts with successive aquifer/aquitard arrangements </w:t>
      </w:r>
      <w:r w:rsidR="00F039AD">
        <w:t>[20,21</w:t>
      </w:r>
      <w:r>
        <w:t>].</w:t>
      </w:r>
    </w:p>
    <w:p w14:paraId="2527FF8A" w14:textId="602C9BCA" w:rsidR="00C83CD9" w:rsidRDefault="00652BE8" w:rsidP="00C83CD9">
      <w:pPr>
        <w:pStyle w:val="MDPI31text"/>
      </w:pPr>
      <w:r>
        <w:t xml:space="preserve">As multilevel or successive observation </w:t>
      </w:r>
      <w:r w:rsidRPr="00D44942">
        <w:t>wells are not often available, one opportunity to investigate the occurrence of hydrogeochemical stratification is to perform a depth</w:t>
      </w:r>
      <w:r w:rsidR="002529A5">
        <w:t>–</w:t>
      </w:r>
      <w:r w:rsidRPr="00D44942">
        <w:t xml:space="preserve">sequential sampling in a single long screened wellbore [22]. However, such sampling remains uncommon [23] as it increases operating costs, </w:t>
      </w:r>
      <w:proofErr w:type="gramStart"/>
      <w:r w:rsidRPr="00D44942">
        <w:t>handling</w:t>
      </w:r>
      <w:proofErr w:type="gramEnd"/>
      <w:r w:rsidRPr="00D44942">
        <w:t xml:space="preserve"> and technicality, especially for significant depths. Uncertainties may also arise regarding</w:t>
      </w:r>
      <w:r>
        <w:t xml:space="preserve"> the representativeness of the water sample with respect to depth. For instance, isolating a section of a wellbore with packers does not preclude bypass flows from the outside due to interconnected fractures [24]. Other low flow pumping methods at depth may also be difficult to handle due to equipment clutter and blockage (submersible pumps, </w:t>
      </w:r>
      <w:proofErr w:type="gramStart"/>
      <w:r>
        <w:t>tubing</w:t>
      </w:r>
      <w:proofErr w:type="gramEnd"/>
      <w:r>
        <w:t xml:space="preserve"> and cables), because sections in wellbores are usually narrow.</w:t>
      </w:r>
      <w:r w:rsidR="00C83CD9">
        <w:t xml:space="preserve"> </w:t>
      </w:r>
      <w:r>
        <w:t>One simpler alternative to sample sequentially in long screened wellbores is to use passive samplers. Passive sampling refers to the collection of water through physically driven solute transport. This naturally induced transport leads to the equilibration of the water within the sampler with the groundwater composition, without usage of any mechanical or electrical device.</w:t>
      </w:r>
    </w:p>
    <w:p w14:paraId="1529D375" w14:textId="68960AEA" w:rsidR="00E94B1B" w:rsidRDefault="00744EEC" w:rsidP="009B3273">
      <w:pPr>
        <w:pStyle w:val="MDPI31text"/>
      </w:pPr>
      <w:bookmarkStart w:id="1" w:name="_Hlk75363406"/>
      <w:r>
        <w:t>Th</w:t>
      </w:r>
      <w:r w:rsidR="009B3273">
        <w:t>is</w:t>
      </w:r>
      <w:r>
        <w:t xml:space="preserve"> research aims to investigate about the</w:t>
      </w:r>
      <w:r w:rsidR="009B3273">
        <w:t xml:space="preserve"> presence of</w:t>
      </w:r>
      <w:r>
        <w:t xml:space="preserve"> </w:t>
      </w:r>
      <w:r w:rsidR="009B3273">
        <w:t xml:space="preserve">groundwater chemically </w:t>
      </w:r>
      <w:r>
        <w:t>stratifi</w:t>
      </w:r>
      <w:r w:rsidR="009B3273">
        <w:t>ed with the depth</w:t>
      </w:r>
      <w:r>
        <w:t xml:space="preserve"> in fractured aquifers</w:t>
      </w:r>
      <w:r w:rsidR="009B3273">
        <w:t xml:space="preserve">. </w:t>
      </w:r>
      <w:r w:rsidR="00C1387B" w:rsidRPr="00C1387B">
        <w:t>According to the references cited above, this information is not well known in the study area, and is also generally not investigated during hydrogeological studies, as one single composite groundwater samples is usually gathered for each site at the pumping’s discharge.</w:t>
      </w:r>
      <w:r>
        <w:t xml:space="preserve"> </w:t>
      </w:r>
      <w:r w:rsidR="009B3273">
        <w:t>I</w:t>
      </w:r>
      <w:r>
        <w:t>nnovative aspect</w:t>
      </w:r>
      <w:r w:rsidR="009B3273">
        <w:t>s</w:t>
      </w:r>
      <w:r>
        <w:t xml:space="preserve"> of this research</w:t>
      </w:r>
      <w:r w:rsidR="009B3273">
        <w:t xml:space="preserve"> </w:t>
      </w:r>
      <w:r w:rsidR="00C1387B">
        <w:t xml:space="preserve">thus </w:t>
      </w:r>
      <w:r w:rsidR="009B3273">
        <w:t xml:space="preserve">relate to </w:t>
      </w:r>
      <w:r>
        <w:t xml:space="preserve">the acquisition of a new type of </w:t>
      </w:r>
      <w:r w:rsidR="009B3273">
        <w:t>hydrogeochemical d</w:t>
      </w:r>
      <w:r>
        <w:t>ata</w:t>
      </w:r>
      <w:r w:rsidR="009B3273">
        <w:t>set in the region</w:t>
      </w:r>
      <w:r>
        <w:t xml:space="preserve">, </w:t>
      </w:r>
      <w:r w:rsidR="009B3273">
        <w:t>and to</w:t>
      </w:r>
      <w:r>
        <w:t xml:space="preserve"> the development of a new sampling method using passive samplers.</w:t>
      </w:r>
      <w:r w:rsidR="009B3273">
        <w:t xml:space="preserve"> </w:t>
      </w:r>
      <w:bookmarkEnd w:id="1"/>
      <w:r w:rsidR="009B3273">
        <w:t>T</w:t>
      </w:r>
      <w:r w:rsidR="00652BE8">
        <w:t xml:space="preserve">he relevance of </w:t>
      </w:r>
      <w:r w:rsidR="009B3273">
        <w:t xml:space="preserve">such </w:t>
      </w:r>
      <w:r w:rsidR="00652BE8">
        <w:t>sampling</w:t>
      </w:r>
      <w:r w:rsidR="009B3273">
        <w:t xml:space="preserve"> is</w:t>
      </w:r>
      <w:r w:rsidR="00652BE8">
        <w:t xml:space="preserve"> demonstrated with major ions and stable isotopes (δ</w:t>
      </w:r>
      <w:r w:rsidR="00652BE8" w:rsidRPr="00652BE8">
        <w:rPr>
          <w:vertAlign w:val="superscript"/>
        </w:rPr>
        <w:t>2</w:t>
      </w:r>
      <w:r w:rsidR="00652BE8">
        <w:t>H, δ</w:t>
      </w:r>
      <w:r w:rsidR="00652BE8" w:rsidRPr="00652BE8">
        <w:rPr>
          <w:vertAlign w:val="superscript"/>
        </w:rPr>
        <w:t>18</w:t>
      </w:r>
      <w:r w:rsidR="00652BE8">
        <w:t>O, δ</w:t>
      </w:r>
      <w:r w:rsidR="00652BE8" w:rsidRPr="00652BE8">
        <w:rPr>
          <w:vertAlign w:val="superscript"/>
        </w:rPr>
        <w:t>13</w:t>
      </w:r>
      <w:r w:rsidR="00652BE8">
        <w:t xml:space="preserve">C). The passive sampling is organized </w:t>
      </w:r>
      <w:r w:rsidR="009B3273">
        <w:t>upon</w:t>
      </w:r>
      <w:r w:rsidR="00652BE8">
        <w:t xml:space="preserve"> data previously gathered from physical borehole logging and is operated sequentially at depths up to 100 m in the St. Lawrence Lowlands, Quebec, Canada. The investigation was implemented in long screened wellbores (e.g., exceeding 50 m depth) in fractured aquifers to report, if occurring, the largest possible ranges of groundwater geochemical compositions with the depth. Granular aquifers were not considered during this study, as borehole screens in the area are often installed at shallow depths, and always over relatively short intervals (i.e., usually less than 5 m long), providing less </w:t>
      </w:r>
      <w:r w:rsidR="00015F1E">
        <w:t>favorable</w:t>
      </w:r>
      <w:r w:rsidR="00652BE8">
        <w:t xml:space="preserve"> conditions to highlight the occurrence of hydrogeochemical stratification, if any.</w:t>
      </w:r>
    </w:p>
    <w:p w14:paraId="00A1F1BF" w14:textId="66D98D1C" w:rsidR="00E94B1B" w:rsidRDefault="00E94B1B" w:rsidP="00E94B1B">
      <w:pPr>
        <w:pStyle w:val="MDPI21heading1"/>
        <w:rPr>
          <w:lang w:eastAsia="zh-CN"/>
        </w:rPr>
      </w:pPr>
      <w:r w:rsidRPr="00FA04F1">
        <w:rPr>
          <w:lang w:eastAsia="zh-CN"/>
        </w:rPr>
        <w:t xml:space="preserve">2. </w:t>
      </w:r>
      <w:r w:rsidR="00FF76AA">
        <w:rPr>
          <w:lang w:eastAsia="zh-CN"/>
        </w:rPr>
        <w:t xml:space="preserve">Geological and </w:t>
      </w:r>
      <w:r w:rsidR="00671EB8">
        <w:rPr>
          <w:lang w:eastAsia="zh-CN"/>
        </w:rPr>
        <w:t>H</w:t>
      </w:r>
      <w:r w:rsidR="00FF76AA">
        <w:rPr>
          <w:lang w:eastAsia="zh-CN"/>
        </w:rPr>
        <w:t xml:space="preserve">ydrogeochemical </w:t>
      </w:r>
      <w:r w:rsidR="00671EB8">
        <w:rPr>
          <w:lang w:eastAsia="zh-CN"/>
        </w:rPr>
        <w:t>S</w:t>
      </w:r>
      <w:r w:rsidR="00FF76AA">
        <w:rPr>
          <w:lang w:eastAsia="zh-CN"/>
        </w:rPr>
        <w:t>ettings</w:t>
      </w:r>
    </w:p>
    <w:p w14:paraId="5879E1AD" w14:textId="74D993FC" w:rsidR="00FF76AA" w:rsidRPr="001F31D1" w:rsidRDefault="00FF76AA" w:rsidP="00FF76AA">
      <w:pPr>
        <w:pStyle w:val="MDPI22heading2"/>
        <w:spacing w:before="240"/>
      </w:pPr>
      <w:r>
        <w:t>2</w:t>
      </w:r>
      <w:r w:rsidRPr="001F31D1">
        <w:t xml:space="preserve">.1. </w:t>
      </w:r>
      <w:r w:rsidRPr="00FF76AA">
        <w:t xml:space="preserve">Geology of the </w:t>
      </w:r>
      <w:r w:rsidR="00671EB8">
        <w:t>S</w:t>
      </w:r>
      <w:r w:rsidRPr="00FF76AA">
        <w:t xml:space="preserve">tudied </w:t>
      </w:r>
      <w:r w:rsidR="00671EB8">
        <w:t>A</w:t>
      </w:r>
      <w:r w:rsidRPr="00FF76AA">
        <w:t xml:space="preserve">rea and </w:t>
      </w:r>
      <w:r w:rsidR="00671EB8">
        <w:t>L</w:t>
      </w:r>
      <w:r w:rsidRPr="00FF76AA">
        <w:t xml:space="preserve">ithology of the </w:t>
      </w:r>
      <w:r w:rsidR="00671EB8">
        <w:t>S</w:t>
      </w:r>
      <w:r w:rsidRPr="00FF76AA">
        <w:t xml:space="preserve">ampled </w:t>
      </w:r>
      <w:r w:rsidR="00671EB8">
        <w:t>W</w:t>
      </w:r>
      <w:r w:rsidRPr="00FF76AA">
        <w:t>ellbores</w:t>
      </w:r>
    </w:p>
    <w:p w14:paraId="0F01F067" w14:textId="58B57D6A" w:rsidR="00DD347B" w:rsidRDefault="00DD347B" w:rsidP="00DD347B">
      <w:pPr>
        <w:pStyle w:val="MDPI31text"/>
      </w:pPr>
      <w:r>
        <w:t xml:space="preserve">This study targeted water wells located in the St. Lawrence Lowlands, which is an extended relatively flat area between Montreal and </w:t>
      </w:r>
      <w:r w:rsidRPr="00A403CB">
        <w:t>Quebec (Figure 1). Targeted</w:t>
      </w:r>
      <w:r>
        <w:t xml:space="preserve"> aquifers are sedimentary and metasedimentary formations belonging to two distinct geological </w:t>
      </w:r>
      <w:r>
        <w:lastRenderedPageBreak/>
        <w:t>provinces: the St. Lawrence Platform in the northwestern portion of the area and the Appalachian Mountains in the southeastern portion of the area. The St. Lawrence Platform is a Cambrian</w:t>
      </w:r>
      <w:r w:rsidR="002529A5">
        <w:t>–</w:t>
      </w:r>
      <w:r>
        <w:t>Lower Ordovician siliciclastic and carbonate platform</w:t>
      </w:r>
      <w:r w:rsidR="00AD6F29">
        <w:t xml:space="preserve"> [25]</w:t>
      </w:r>
      <w:r>
        <w:t>, formed in an extensional context related to the opening of the Iapetus Ocean and overlain by Middle</w:t>
      </w:r>
      <w:r w:rsidR="002529A5">
        <w:t>–</w:t>
      </w:r>
      <w:r>
        <w:t>Late Ordovician foreland carbonate</w:t>
      </w:r>
      <w:r w:rsidR="002529A5">
        <w:t>–</w:t>
      </w:r>
      <w:r>
        <w:t>clastic deposits, deposited during the closure of Iapetus and the Appalachian Mountains buildup. The Appalachian Mountains is a two</w:t>
      </w:r>
      <w:r w:rsidR="002529A5">
        <w:t>–</w:t>
      </w:r>
      <w:r>
        <w:t>stage orogen built up starting from the Ordovician (Taconic orogen</w:t>
      </w:r>
      <w:r w:rsidR="00AD6F29">
        <w:t xml:space="preserve"> </w:t>
      </w:r>
      <w:r w:rsidR="00C917D9">
        <w:t>[26]</w:t>
      </w:r>
      <w:r>
        <w:t xml:space="preserve">). </w:t>
      </w:r>
      <w:r w:rsidR="005D7C59">
        <w:t xml:space="preserve">Sedimentary </w:t>
      </w:r>
      <w:r>
        <w:t>units are represented in Figure 1 as a simplified version of the detailed mapping by [2</w:t>
      </w:r>
      <w:r w:rsidR="00C917D9">
        <w:t>7</w:t>
      </w:r>
      <w:r>
        <w:t>]. The geomorphology of Quebec is marked by glaciation</w:t>
      </w:r>
      <w:r w:rsidR="002529A5">
        <w:t>–</w:t>
      </w:r>
      <w:r>
        <w:t>deglaciation phases, which controlled the deposition of unconsolidated sediments overlying the</w:t>
      </w:r>
      <w:r w:rsidR="005D7C59">
        <w:t xml:space="preserve"> </w:t>
      </w:r>
      <w:r>
        <w:t>bedrock</w:t>
      </w:r>
      <w:r w:rsidR="00C917D9">
        <w:t xml:space="preserve"> </w:t>
      </w:r>
      <w:r w:rsidR="00F039AD">
        <w:t>[28,29</w:t>
      </w:r>
      <w:r w:rsidR="00C917D9">
        <w:t>]</w:t>
      </w:r>
      <w:r>
        <w:t>. The nature of these unconsolidated sediments largely controls the recharge and confinement conditions of the fractured aquifers [</w:t>
      </w:r>
      <w:r w:rsidR="006E426C">
        <w:t>30</w:t>
      </w:r>
      <w:r>
        <w:t>].</w:t>
      </w:r>
    </w:p>
    <w:p w14:paraId="5FC3CF60" w14:textId="18B6736A" w:rsidR="00E94B1B" w:rsidRDefault="00DD347B" w:rsidP="00DD347B">
      <w:pPr>
        <w:pStyle w:val="MDPI31text"/>
      </w:pPr>
      <w:r>
        <w:t>Ten municipal and observation wells were studied and named depending on their locations. St.</w:t>
      </w:r>
      <w:r w:rsidR="00F039AD" w:rsidRPr="00F039AD">
        <w:t xml:space="preserve"> </w:t>
      </w:r>
      <w:r>
        <w:t xml:space="preserve">Lazare and </w:t>
      </w:r>
      <w:proofErr w:type="spellStart"/>
      <w:r>
        <w:t>Ormstown</w:t>
      </w:r>
      <w:proofErr w:type="spellEnd"/>
      <w:r>
        <w:t xml:space="preserve"> wellbores were drilled and installed in Cambrian sandstone of the Potsdam Group; Mirabel, Napierville and </w:t>
      </w:r>
      <w:proofErr w:type="spellStart"/>
      <w:r>
        <w:t>Hemmingford</w:t>
      </w:r>
      <w:proofErr w:type="spellEnd"/>
      <w:r>
        <w:t xml:space="preserve"> wellbores in Ordovician dolomite of the </w:t>
      </w:r>
      <w:proofErr w:type="spellStart"/>
      <w:r>
        <w:t>Beekmantown</w:t>
      </w:r>
      <w:proofErr w:type="spellEnd"/>
      <w:r>
        <w:t xml:space="preserve"> Group; St.</w:t>
      </w:r>
      <w:r w:rsidR="00F039AD" w:rsidRPr="00F039AD">
        <w:t xml:space="preserve"> </w:t>
      </w:r>
      <w:proofErr w:type="spellStart"/>
      <w:r>
        <w:t>Roch</w:t>
      </w:r>
      <w:proofErr w:type="spellEnd"/>
      <w:r>
        <w:t xml:space="preserve"> wellbore in the Ordovician limestone of the Trenton Group and the Chateauguay wellbore </w:t>
      </w:r>
      <w:proofErr w:type="gramStart"/>
      <w:r>
        <w:t>is located in</w:t>
      </w:r>
      <w:proofErr w:type="gramEnd"/>
      <w:r>
        <w:t xml:space="preserve"> the transition zone between the </w:t>
      </w:r>
      <w:proofErr w:type="spellStart"/>
      <w:r>
        <w:t>Postdam</w:t>
      </w:r>
      <w:proofErr w:type="spellEnd"/>
      <w:r>
        <w:t xml:space="preserve"> and the </w:t>
      </w:r>
      <w:proofErr w:type="spellStart"/>
      <w:r>
        <w:t>Beekmantown</w:t>
      </w:r>
      <w:proofErr w:type="spellEnd"/>
      <w:r>
        <w:t xml:space="preserve"> Groups. To the west, Abbotsford wellbores are installed in the </w:t>
      </w:r>
      <w:proofErr w:type="spellStart"/>
      <w:r>
        <w:t>Mawcook</w:t>
      </w:r>
      <w:proofErr w:type="spellEnd"/>
      <w:r>
        <w:t xml:space="preserve"> Formation, composed of red schists. </w:t>
      </w:r>
      <w:bookmarkStart w:id="2" w:name="_Hlk75331499"/>
      <w:r>
        <w:t xml:space="preserve">Confinement conditions at the location of the wellbores </w:t>
      </w:r>
      <w:r w:rsidR="00C83CD9">
        <w:t>are</w:t>
      </w:r>
      <w:r>
        <w:t xml:space="preserve"> </w:t>
      </w:r>
      <w:r w:rsidR="00B42193">
        <w:t>inferred</w:t>
      </w:r>
      <w:r>
        <w:t xml:space="preserve"> </w:t>
      </w:r>
      <w:r w:rsidR="00C83CD9">
        <w:t>from</w:t>
      </w:r>
      <w:r>
        <w:t xml:space="preserve"> the nature </w:t>
      </w:r>
      <w:r w:rsidR="00C83CD9">
        <w:t xml:space="preserve">and the thickness </w:t>
      </w:r>
      <w:r>
        <w:t>of the sedimentary cover</w:t>
      </w:r>
      <w:bookmarkEnd w:id="2"/>
      <w:r>
        <w:t>: unconfined condition for Abbotsford</w:t>
      </w:r>
      <w:r w:rsidR="00F039AD" w:rsidRPr="00F039AD">
        <w:t xml:space="preserve"> </w:t>
      </w:r>
      <w:r>
        <w:t>PO5 and Abbotsford</w:t>
      </w:r>
      <w:r w:rsidR="00F039AD" w:rsidRPr="00F039AD">
        <w:t xml:space="preserve"> </w:t>
      </w:r>
      <w:r>
        <w:t>PO7 (5 and 8</w:t>
      </w:r>
      <w:r w:rsidR="00F039AD" w:rsidRPr="00F039AD">
        <w:t xml:space="preserve"> </w:t>
      </w:r>
      <w:r>
        <w:t xml:space="preserve">m of sand with silt lenses), </w:t>
      </w:r>
      <w:proofErr w:type="spellStart"/>
      <w:r>
        <w:t>Hemmingford</w:t>
      </w:r>
      <w:proofErr w:type="spellEnd"/>
      <w:r>
        <w:t xml:space="preserve"> (0.6</w:t>
      </w:r>
      <w:r w:rsidR="00F039AD" w:rsidRPr="00F039AD">
        <w:t xml:space="preserve"> </w:t>
      </w:r>
      <w:r>
        <w:t xml:space="preserve">m of till), </w:t>
      </w:r>
      <w:proofErr w:type="spellStart"/>
      <w:r>
        <w:t>Ormstown</w:t>
      </w:r>
      <w:proofErr w:type="spellEnd"/>
      <w:r>
        <w:t xml:space="preserve"> (2.1</w:t>
      </w:r>
      <w:r w:rsidR="00F039AD" w:rsidRPr="00F039AD">
        <w:t xml:space="preserve"> </w:t>
      </w:r>
      <w:r>
        <w:t>m of till), Napierville</w:t>
      </w:r>
      <w:r w:rsidR="00F039AD" w:rsidRPr="00F039AD">
        <w:t xml:space="preserve"> </w:t>
      </w:r>
      <w:r>
        <w:t>P6 (5</w:t>
      </w:r>
      <w:r w:rsidR="00F039AD" w:rsidRPr="00F039AD">
        <w:t xml:space="preserve"> </w:t>
      </w:r>
      <w:r>
        <w:t>m of sand and gravel and 2</w:t>
      </w:r>
      <w:r w:rsidR="00F039AD" w:rsidRPr="00F039AD">
        <w:t xml:space="preserve"> </w:t>
      </w:r>
      <w:r>
        <w:t xml:space="preserve">m of till), </w:t>
      </w:r>
      <w:r w:rsidR="00A455CF">
        <w:t>St.</w:t>
      </w:r>
      <w:r w:rsidR="00F039AD" w:rsidRPr="00F039AD">
        <w:t xml:space="preserve"> </w:t>
      </w:r>
      <w:proofErr w:type="spellStart"/>
      <w:r w:rsidR="00A455CF">
        <w:t>Roch</w:t>
      </w:r>
      <w:proofErr w:type="spellEnd"/>
      <w:r>
        <w:t xml:space="preserve"> (7.7</w:t>
      </w:r>
      <w:r w:rsidR="00F039AD" w:rsidRPr="00F039AD">
        <w:t xml:space="preserve"> </w:t>
      </w:r>
      <w:r>
        <w:t>m of sandy till); semi</w:t>
      </w:r>
      <w:r w:rsidR="002529A5">
        <w:t>–</w:t>
      </w:r>
      <w:r>
        <w:t>confined conditions for Mirabel (7.7</w:t>
      </w:r>
      <w:r w:rsidR="00F039AD" w:rsidRPr="00F039AD">
        <w:t xml:space="preserve"> </w:t>
      </w:r>
      <w:r>
        <w:t>m of sandy deposits alternated with till); confined condition for St.</w:t>
      </w:r>
      <w:r w:rsidR="00F039AD" w:rsidRPr="00F039AD">
        <w:t xml:space="preserve"> </w:t>
      </w:r>
      <w:r>
        <w:t>Lazare (total of 62</w:t>
      </w:r>
      <w:r w:rsidR="00F039AD" w:rsidRPr="00F039AD">
        <w:t xml:space="preserve"> </w:t>
      </w:r>
      <w:r>
        <w:t xml:space="preserve">m of sediments, mainly sands with silt lenses interlayered at the </w:t>
      </w:r>
      <w:proofErr w:type="spellStart"/>
      <w:r>
        <w:t>centre</w:t>
      </w:r>
      <w:proofErr w:type="spellEnd"/>
      <w:r>
        <w:t xml:space="preserve"> by a 6 to 10</w:t>
      </w:r>
      <w:r w:rsidR="00F039AD" w:rsidRPr="00F039AD">
        <w:t xml:space="preserve"> </w:t>
      </w:r>
      <w:r>
        <w:t>m thick clayey till), Napierville</w:t>
      </w:r>
      <w:r w:rsidR="00F039AD" w:rsidRPr="00F039AD">
        <w:t xml:space="preserve"> </w:t>
      </w:r>
      <w:r>
        <w:t>PO2 (total of 15.6</w:t>
      </w:r>
      <w:r w:rsidR="00F039AD" w:rsidRPr="00F039AD">
        <w:t xml:space="preserve"> </w:t>
      </w:r>
      <w:r>
        <w:t>m of sediments, alternating with sands, till and with a silt layer of 6</w:t>
      </w:r>
      <w:r w:rsidR="00F039AD" w:rsidRPr="00F039AD">
        <w:t xml:space="preserve"> </w:t>
      </w:r>
      <w:r>
        <w:t>m thick), Chateauguay (13.4</w:t>
      </w:r>
      <w:r w:rsidR="00F039AD" w:rsidRPr="00F039AD">
        <w:t xml:space="preserve"> </w:t>
      </w:r>
      <w:r>
        <w:t>m of clay, 1</w:t>
      </w:r>
      <w:r w:rsidR="00F039AD" w:rsidRPr="00F039AD">
        <w:t xml:space="preserve"> </w:t>
      </w:r>
      <w:r>
        <w:t>m of till). All investigated wellbores have a diameter of 150</w:t>
      </w:r>
      <w:r w:rsidR="00F039AD" w:rsidRPr="00F039AD">
        <w:t xml:space="preserve"> </w:t>
      </w:r>
      <w:r>
        <w:t>mm, are steel</w:t>
      </w:r>
      <w:r w:rsidR="009F6BDD">
        <w:t xml:space="preserve"> </w:t>
      </w:r>
      <w:r>
        <w:t>cased within unconsolidated sediments, and the casing is anchored into the bedrock (generally more than 1</w:t>
      </w:r>
      <w:r w:rsidR="00F039AD" w:rsidRPr="00F039AD">
        <w:t xml:space="preserve"> </w:t>
      </w:r>
      <w:r>
        <w:t>m into it). Boreholes are uncased below the steel tubing. Characteristics of the wellbores are depicted in the synthetic logging including steel casing lengths, total borehole depths and depths to the water table (Section 3.3).</w:t>
      </w:r>
    </w:p>
    <w:p w14:paraId="4513F448" w14:textId="10AC56B2" w:rsidR="00DD347B" w:rsidRDefault="00FE5916" w:rsidP="00A403CB">
      <w:pPr>
        <w:pStyle w:val="MDPI52figure"/>
        <w:ind w:left="2608"/>
        <w:jc w:val="left"/>
      </w:pPr>
      <w:r>
        <w:rPr>
          <w:noProof/>
          <w:snapToGrid/>
          <w:lang w:val="de-CH"/>
        </w:rPr>
        <w:drawing>
          <wp:inline distT="0" distB="0" distL="0" distR="0" wp14:anchorId="5CDA187E" wp14:editId="279B4E3D">
            <wp:extent cx="4576820" cy="3214255"/>
            <wp:effectExtent l="0" t="0" r="0" b="5715"/>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7766" cy="3228965"/>
                    </a:xfrm>
                    <a:prstGeom prst="rect">
                      <a:avLst/>
                    </a:prstGeom>
                    <a:noFill/>
                    <a:ln>
                      <a:noFill/>
                    </a:ln>
                  </pic:spPr>
                </pic:pic>
              </a:graphicData>
            </a:graphic>
          </wp:inline>
        </w:drawing>
      </w:r>
    </w:p>
    <w:p w14:paraId="76E37E90" w14:textId="3F9D11ED" w:rsidR="00C41EC1" w:rsidRDefault="00A403CB" w:rsidP="00A403CB">
      <w:pPr>
        <w:pStyle w:val="MDPI51figurecaption"/>
      </w:pPr>
      <w:r w:rsidRPr="00A403CB">
        <w:rPr>
          <w:b/>
        </w:rPr>
        <w:t xml:space="preserve">Figure 1. </w:t>
      </w:r>
      <w:r w:rsidR="00DD347B" w:rsidRPr="00DD347B">
        <w:t>Geological map of the investigated area, with localization of the wellbores</w:t>
      </w:r>
      <w:r w:rsidR="00DD347B">
        <w:t>.</w:t>
      </w:r>
    </w:p>
    <w:p w14:paraId="0CB25EE8" w14:textId="13DE6134" w:rsidR="00DD347B" w:rsidRPr="00671EB8" w:rsidRDefault="00DD347B" w:rsidP="00671EB8">
      <w:pPr>
        <w:pStyle w:val="MDPI22heading2"/>
        <w:spacing w:before="240"/>
      </w:pPr>
      <w:r w:rsidRPr="00671EB8">
        <w:lastRenderedPageBreak/>
        <w:t xml:space="preserve">2.2. Hydrogeochemical </w:t>
      </w:r>
      <w:r w:rsidR="00671EB8" w:rsidRPr="00671EB8">
        <w:t>P</w:t>
      </w:r>
      <w:r w:rsidRPr="00671EB8">
        <w:t xml:space="preserve">rocesses of </w:t>
      </w:r>
      <w:r w:rsidR="00671EB8" w:rsidRPr="00671EB8">
        <w:t>I</w:t>
      </w:r>
      <w:r w:rsidRPr="00671EB8">
        <w:t xml:space="preserve">nterest </w:t>
      </w:r>
      <w:r w:rsidR="00671EB8" w:rsidRPr="00671EB8">
        <w:t>w</w:t>
      </w:r>
      <w:r w:rsidRPr="00671EB8">
        <w:t xml:space="preserve">ithin the </w:t>
      </w:r>
      <w:r w:rsidR="00671EB8" w:rsidRPr="00671EB8">
        <w:t>S</w:t>
      </w:r>
      <w:r w:rsidRPr="00671EB8">
        <w:t xml:space="preserve">tudied </w:t>
      </w:r>
      <w:r w:rsidR="00671EB8" w:rsidRPr="00671EB8">
        <w:t>A</w:t>
      </w:r>
      <w:r w:rsidRPr="00671EB8">
        <w:t>rea</w:t>
      </w:r>
    </w:p>
    <w:p w14:paraId="7CA0260F" w14:textId="1AA1B2D1" w:rsidR="00DD347B" w:rsidRDefault="00DD347B" w:rsidP="00DD347B">
      <w:pPr>
        <w:pStyle w:val="MDPI31text"/>
      </w:pPr>
      <w:r>
        <w:t>For fractured carbonate aquifers located within St. Lawrence Lowlands, dominant hydrogeochemical processes are carbonate weathering, dissolution/input of highly soluble minerals (e.g., gypsum), calcium</w:t>
      </w:r>
      <w:r w:rsidR="002529A5">
        <w:t>–</w:t>
      </w:r>
      <w:r>
        <w:t>sodium (Ca</w:t>
      </w:r>
      <w:r w:rsidR="00617C78">
        <w:t>–</w:t>
      </w:r>
      <w:r>
        <w:t>Na) cationic exchanges and sodium chloride (Na</w:t>
      </w:r>
      <w:r w:rsidR="00617C78">
        <w:t>–</w:t>
      </w:r>
      <w:r>
        <w:t xml:space="preserve">Cl) inputs from the Champlain Sea marine invasion </w:t>
      </w:r>
      <w:r w:rsidR="0058379A">
        <w:t>[6,7,11,12,14,15]</w:t>
      </w:r>
      <w:r>
        <w:t>.</w:t>
      </w:r>
    </w:p>
    <w:p w14:paraId="26E0F9F2" w14:textId="1D86CDF1" w:rsidR="00DD347B" w:rsidRPr="00D44942" w:rsidRDefault="00DD347B" w:rsidP="00DD347B">
      <w:pPr>
        <w:pStyle w:val="MDPI31text"/>
      </w:pPr>
      <w:r>
        <w:t>Carbonate weathering results from the neutralization of carbonic acid inherited at recharge from the solubilization of CO</w:t>
      </w:r>
      <w:r w:rsidRPr="00DD347B">
        <w:rPr>
          <w:vertAlign w:val="subscript"/>
        </w:rPr>
        <w:t>2</w:t>
      </w:r>
      <w:r>
        <w:t xml:space="preserve"> and leads to the production of bicarbonate as well </w:t>
      </w:r>
      <w:r w:rsidRPr="00D44942">
        <w:t>as calcium (Ca</w:t>
      </w:r>
      <w:r w:rsidRPr="00D44942">
        <w:rPr>
          <w:vertAlign w:val="superscript"/>
        </w:rPr>
        <w:t>2+</w:t>
      </w:r>
      <w:r w:rsidRPr="00D44942">
        <w:t>) and magnesium (Mg</w:t>
      </w:r>
      <w:r w:rsidRPr="00D44942">
        <w:rPr>
          <w:vertAlign w:val="superscript"/>
        </w:rPr>
        <w:t>2+</w:t>
      </w:r>
      <w:r w:rsidRPr="00D44942">
        <w:t>) in groundwater [20]. The weathering capacity depends on the amount of CO</w:t>
      </w:r>
      <w:r w:rsidRPr="00D44942">
        <w:rPr>
          <w:vertAlign w:val="subscript"/>
        </w:rPr>
        <w:t>2</w:t>
      </w:r>
      <w:r w:rsidRPr="00D44942">
        <w:t xml:space="preserve"> that can be dissolved in the water during the recharge. This amount is determined by the partial pressure of CO</w:t>
      </w:r>
      <w:r w:rsidRPr="00D44942">
        <w:rPr>
          <w:vertAlign w:val="subscript"/>
        </w:rPr>
        <w:t>2</w:t>
      </w:r>
      <w:r w:rsidRPr="00D44942">
        <w:t xml:space="preserve"> in soils, as well as conditions that enhance the dissolution of CO</w:t>
      </w:r>
      <w:r w:rsidRPr="00D44942">
        <w:rPr>
          <w:vertAlign w:val="subscript"/>
        </w:rPr>
        <w:t>2</w:t>
      </w:r>
      <w:r w:rsidRPr="00D44942">
        <w:t xml:space="preserve"> in water within the unsaturated zone such as the residence time and the nature of the porous matrix that </w:t>
      </w:r>
      <w:proofErr w:type="spellStart"/>
      <w:r w:rsidRPr="00D44942">
        <w:t>favours</w:t>
      </w:r>
      <w:proofErr w:type="spellEnd"/>
      <w:r w:rsidRPr="00D44942">
        <w:t xml:space="preserve"> the interaction between CO</w:t>
      </w:r>
      <w:r w:rsidRPr="00D44942">
        <w:rPr>
          <w:vertAlign w:val="subscript"/>
        </w:rPr>
        <w:t>2</w:t>
      </w:r>
      <w:r w:rsidRPr="00D44942">
        <w:t xml:space="preserve"> and water [</w:t>
      </w:r>
      <w:r w:rsidR="006E426C">
        <w:t>31</w:t>
      </w:r>
      <w:r w:rsidRPr="00D44942">
        <w:t>]. Highest pCO</w:t>
      </w:r>
      <w:r w:rsidRPr="00D44942">
        <w:rPr>
          <w:vertAlign w:val="subscript"/>
        </w:rPr>
        <w:t>2</w:t>
      </w:r>
      <w:r w:rsidRPr="00D44942">
        <w:t xml:space="preserve"> </w:t>
      </w:r>
      <w:r w:rsidRPr="00E078A5">
        <w:t>at the recharge are derived from the decomposition of organic matter in soils (ranging from 10</w:t>
      </w:r>
      <w:r w:rsidR="00F039AD" w:rsidRPr="00E078A5">
        <w:rPr>
          <w:vertAlign w:val="superscript"/>
        </w:rPr>
        <w:t>−2</w:t>
      </w:r>
      <w:r w:rsidRPr="00E078A5">
        <w:rPr>
          <w:vertAlign w:val="superscript"/>
        </w:rPr>
        <w:t>.5</w:t>
      </w:r>
      <w:r w:rsidRPr="00E078A5">
        <w:t xml:space="preserve"> to 10</w:t>
      </w:r>
      <w:r w:rsidR="00F039AD" w:rsidRPr="00E078A5">
        <w:rPr>
          <w:vertAlign w:val="superscript"/>
        </w:rPr>
        <w:t>−1</w:t>
      </w:r>
      <w:r w:rsidRPr="00E078A5">
        <w:rPr>
          <w:vertAlign w:val="superscript"/>
        </w:rPr>
        <w:t xml:space="preserve">.5 </w:t>
      </w:r>
      <w:r w:rsidRPr="00E078A5">
        <w:t>atm.), while atmospheric pCO</w:t>
      </w:r>
      <w:r w:rsidRPr="00E078A5">
        <w:rPr>
          <w:vertAlign w:val="subscript"/>
        </w:rPr>
        <w:t>2</w:t>
      </w:r>
      <w:r w:rsidRPr="00E078A5">
        <w:t xml:space="preserve"> are much lower (10</w:t>
      </w:r>
      <w:r w:rsidR="00F039AD" w:rsidRPr="00E078A5">
        <w:rPr>
          <w:vertAlign w:val="superscript"/>
        </w:rPr>
        <w:t>−3</w:t>
      </w:r>
      <w:r w:rsidRPr="00E078A5">
        <w:rPr>
          <w:vertAlign w:val="superscript"/>
        </w:rPr>
        <w:t>.4</w:t>
      </w:r>
      <w:r w:rsidRPr="00E078A5">
        <w:t xml:space="preserve"> atm.) </w:t>
      </w:r>
      <w:r w:rsidR="00F039AD" w:rsidRPr="00E078A5">
        <w:t>[31,32</w:t>
      </w:r>
      <w:r w:rsidRPr="00E078A5">
        <w:t>]. Partial CO</w:t>
      </w:r>
      <w:r w:rsidRPr="00E078A5">
        <w:rPr>
          <w:vertAlign w:val="subscript"/>
        </w:rPr>
        <w:t>2</w:t>
      </w:r>
      <w:r w:rsidRPr="00E078A5">
        <w:t xml:space="preserve"> pressure in groundwater (pCO</w:t>
      </w:r>
      <w:r w:rsidRPr="00E078A5">
        <w:rPr>
          <w:vertAlign w:val="subscript"/>
        </w:rPr>
        <w:t>2</w:t>
      </w:r>
      <w:r w:rsidRPr="00E078A5">
        <w:t>) can be calculated from alkalinity and pH and</w:t>
      </w:r>
      <w:r w:rsidRPr="00D44942">
        <w:t xml:space="preserve"> allows distinguishing about the system openness to soil CO</w:t>
      </w:r>
      <w:r w:rsidRPr="00D44942">
        <w:rPr>
          <w:vertAlign w:val="subscript"/>
        </w:rPr>
        <w:t>2</w:t>
      </w:r>
      <w:r w:rsidRPr="00D44942">
        <w:t xml:space="preserve">. Although “fully open or closed systems” terminology is conceptually necessary to describe the </w:t>
      </w:r>
      <w:proofErr w:type="spellStart"/>
      <w:r w:rsidRPr="00D44942">
        <w:t>calco</w:t>
      </w:r>
      <w:proofErr w:type="spellEnd"/>
      <w:r w:rsidR="002529A5">
        <w:t>–</w:t>
      </w:r>
      <w:r w:rsidRPr="00D44942">
        <w:t>carbonic evolution of groundwater, “system openness to soil CO</w:t>
      </w:r>
      <w:r w:rsidRPr="00D44942">
        <w:rPr>
          <w:vertAlign w:val="subscript"/>
        </w:rPr>
        <w:t>2</w:t>
      </w:r>
      <w:r w:rsidRPr="00D44942">
        <w:t xml:space="preserve">” terminology is preferred as natural systems are in most of the case “partially open or closed” </w:t>
      </w:r>
      <w:r w:rsidR="00F039AD">
        <w:t>[31,33</w:t>
      </w:r>
      <w:r w:rsidRPr="00D44942">
        <w:t>]. In the context of this study, carbonates in the St. Lawrence Lowlands include calcareous and dolomitic materials in variable proportion [2</w:t>
      </w:r>
      <w:r w:rsidR="006E426C">
        <w:t>7</w:t>
      </w:r>
      <w:r w:rsidRPr="00D44942">
        <w:t xml:space="preserve">], such as for the </w:t>
      </w:r>
      <w:proofErr w:type="spellStart"/>
      <w:r w:rsidRPr="00D44942">
        <w:t>Beekmantown</w:t>
      </w:r>
      <w:proofErr w:type="spellEnd"/>
      <w:r w:rsidRPr="00D44942">
        <w:t xml:space="preserve"> and Trenton Group, and Appalachian’s </w:t>
      </w:r>
      <w:proofErr w:type="spellStart"/>
      <w:r w:rsidRPr="00D44942">
        <w:t>Mawcook</w:t>
      </w:r>
      <w:proofErr w:type="spellEnd"/>
      <w:r w:rsidRPr="00D44942">
        <w:t xml:space="preserve"> Fm. Quaternary unconsolidated sediments, notably tills, would also be a major source of carbonates [3</w:t>
      </w:r>
      <w:r w:rsidR="006E426C">
        <w:t>4</w:t>
      </w:r>
      <w:r w:rsidRPr="00D44942">
        <w:t>].</w:t>
      </w:r>
    </w:p>
    <w:p w14:paraId="1FE1935B" w14:textId="1B9008F0" w:rsidR="00DD347B" w:rsidRDefault="00DD347B" w:rsidP="00DD347B">
      <w:pPr>
        <w:pStyle w:val="MDPI31text"/>
      </w:pPr>
      <w:r w:rsidRPr="00D44942">
        <w:t xml:space="preserve">Other insights about carbonate chemistry may be given by the </w:t>
      </w:r>
      <w:proofErr w:type="spellStart"/>
      <w:r w:rsidRPr="00D44942">
        <w:t>calco</w:t>
      </w:r>
      <w:proofErr w:type="spellEnd"/>
      <w:r w:rsidR="007719BE">
        <w:t>–</w:t>
      </w:r>
      <w:r w:rsidRPr="00D44942">
        <w:t>carbonic system as well as the isotopic composition</w:t>
      </w:r>
      <w:r w:rsidR="00A72D8B">
        <w:t xml:space="preserve"> </w:t>
      </w:r>
      <w:r w:rsidR="00A72D8B" w:rsidRPr="00D44942">
        <w:t>(δ</w:t>
      </w:r>
      <w:r w:rsidR="00A72D8B" w:rsidRPr="00D44942">
        <w:rPr>
          <w:vertAlign w:val="superscript"/>
        </w:rPr>
        <w:t>13</w:t>
      </w:r>
      <w:r w:rsidR="00A72D8B" w:rsidRPr="00D44942">
        <w:t>C</w:t>
      </w:r>
      <w:r w:rsidR="00A72D8B" w:rsidRPr="00D44942">
        <w:rPr>
          <w:vertAlign w:val="subscript"/>
        </w:rPr>
        <w:t>DIC</w:t>
      </w:r>
      <w:r w:rsidR="00A72D8B" w:rsidRPr="00D44942">
        <w:t>)</w:t>
      </w:r>
      <w:r w:rsidRPr="00D44942">
        <w:t xml:space="preserve"> of the</w:t>
      </w:r>
      <w:r w:rsidR="00A72D8B">
        <w:t xml:space="preserve"> dissolved inorganic carbon</w:t>
      </w:r>
      <w:r w:rsidRPr="00D44942">
        <w:t xml:space="preserve"> </w:t>
      </w:r>
      <w:r w:rsidR="00A72D8B">
        <w:t>(</w:t>
      </w:r>
      <w:r w:rsidRPr="00D44942">
        <w:t>DIC</w:t>
      </w:r>
      <w:r w:rsidR="00A72D8B">
        <w:t>)</w:t>
      </w:r>
      <w:r w:rsidRPr="00D44942">
        <w:t xml:space="preserve"> [3</w:t>
      </w:r>
      <w:r w:rsidR="006E426C">
        <w:t>5</w:t>
      </w:r>
      <w:r w:rsidRPr="00D44942">
        <w:t>]. In a system theoretically fully open to CO</w:t>
      </w:r>
      <w:r w:rsidRPr="00D44942">
        <w:rPr>
          <w:vertAlign w:val="subscript"/>
        </w:rPr>
        <w:t>2</w:t>
      </w:r>
      <w:r w:rsidRPr="00D44942">
        <w:t xml:space="preserve">, </w:t>
      </w:r>
      <w:r w:rsidR="0069261F" w:rsidRPr="00D44942">
        <w:t>δ</w:t>
      </w:r>
      <w:r w:rsidR="0069261F" w:rsidRPr="00D44942">
        <w:rPr>
          <w:vertAlign w:val="superscript"/>
        </w:rPr>
        <w:t>13</w:t>
      </w:r>
      <w:r w:rsidR="0069261F" w:rsidRPr="00D44942">
        <w:t>C</w:t>
      </w:r>
      <w:r w:rsidR="0069261F" w:rsidRPr="00D44942">
        <w:rPr>
          <w:vertAlign w:val="subscript"/>
        </w:rPr>
        <w:t>DIC</w:t>
      </w:r>
      <w:r w:rsidRPr="00D44942">
        <w:t xml:space="preserve"> will be enriched of about 10‰ (at 8.5</w:t>
      </w:r>
      <w:r w:rsidR="007719BE">
        <w:t xml:space="preserve"> </w:t>
      </w:r>
      <w:r w:rsidRPr="00D44942">
        <w:t xml:space="preserve">°C, range of temperature of </w:t>
      </w:r>
      <w:r w:rsidR="0087238B" w:rsidRPr="00D44942">
        <w:t xml:space="preserve">the </w:t>
      </w:r>
      <w:r w:rsidRPr="00D44942">
        <w:t>groundwater in this study) with respect to soil CO</w:t>
      </w:r>
      <w:r w:rsidRPr="00D44942">
        <w:rPr>
          <w:vertAlign w:val="subscript"/>
        </w:rPr>
        <w:t>2</w:t>
      </w:r>
      <w:r w:rsidRPr="00D44942">
        <w:t xml:space="preserve"> </w:t>
      </w:r>
      <w:r w:rsidR="008A6FCC" w:rsidRPr="00D44942">
        <w:t>δ</w:t>
      </w:r>
      <w:r w:rsidR="008A6FCC" w:rsidRPr="00D44942">
        <w:rPr>
          <w:vertAlign w:val="superscript"/>
        </w:rPr>
        <w:t>13</w:t>
      </w:r>
      <w:r w:rsidR="008A6FCC" w:rsidRPr="00D44942">
        <w:t>C</w:t>
      </w:r>
      <w:r w:rsidR="008A6FCC" w:rsidRPr="00D44942">
        <w:rPr>
          <w:vertAlign w:val="subscript"/>
        </w:rPr>
        <w:t>g</w:t>
      </w:r>
      <w:r w:rsidRPr="00D44942">
        <w:t xml:space="preserve"> because of isotopic fractionation between the DIC and the soil CO</w:t>
      </w:r>
      <w:r w:rsidRPr="00D44942">
        <w:rPr>
          <w:vertAlign w:val="subscript"/>
        </w:rPr>
        <w:t>2</w:t>
      </w:r>
      <w:r w:rsidRPr="00D44942">
        <w:t xml:space="preserve"> that are in continual exchange. During calcite dissolution, </w:t>
      </w:r>
      <w:r w:rsidR="008A6FCC" w:rsidRPr="00D44942">
        <w:t>δ</w:t>
      </w:r>
      <w:r w:rsidR="008A6FCC" w:rsidRPr="00D44942">
        <w:rPr>
          <w:vertAlign w:val="superscript"/>
        </w:rPr>
        <w:t>13</w:t>
      </w:r>
      <w:r w:rsidR="008A6FCC" w:rsidRPr="00D44942">
        <w:t>C</w:t>
      </w:r>
      <w:r w:rsidR="008A6FCC" w:rsidRPr="00D44942">
        <w:rPr>
          <w:vertAlign w:val="subscript"/>
        </w:rPr>
        <w:t>DIC</w:t>
      </w:r>
      <w:r w:rsidRPr="00D44942">
        <w:t xml:space="preserve"> evolves from the depleted isotopic composition of soil CO</w:t>
      </w:r>
      <w:r w:rsidRPr="00D44942">
        <w:rPr>
          <w:vertAlign w:val="subscript"/>
        </w:rPr>
        <w:t>2</w:t>
      </w:r>
      <w:r w:rsidRPr="00D44942">
        <w:t xml:space="preserve"> (</w:t>
      </w:r>
      <w:r w:rsidR="008A6FCC" w:rsidRPr="00D44942">
        <w:t>δ</w:t>
      </w:r>
      <w:r w:rsidR="008A6FCC" w:rsidRPr="00D44942">
        <w:rPr>
          <w:vertAlign w:val="superscript"/>
        </w:rPr>
        <w:t>13</w:t>
      </w:r>
      <w:r w:rsidR="008A6FCC" w:rsidRPr="00D44942">
        <w:t>C</w:t>
      </w:r>
      <w:r w:rsidR="008A6FCC" w:rsidRPr="00D44942">
        <w:rPr>
          <w:vertAlign w:val="subscript"/>
        </w:rPr>
        <w:t>g</w:t>
      </w:r>
      <w:r w:rsidRPr="00D44942">
        <w:t>) towards the more enriched composition of the carbonates (</w:t>
      </w:r>
      <w:r w:rsidR="008A6FCC" w:rsidRPr="00D44942">
        <w:t>δ</w:t>
      </w:r>
      <w:r w:rsidR="008A6FCC" w:rsidRPr="00D44942">
        <w:rPr>
          <w:vertAlign w:val="superscript"/>
        </w:rPr>
        <w:t>13</w:t>
      </w:r>
      <w:r w:rsidR="008A6FCC" w:rsidRPr="00D44942">
        <w:t>C</w:t>
      </w:r>
      <w:r w:rsidR="008A6FCC" w:rsidRPr="00D44942">
        <w:rPr>
          <w:vertAlign w:val="subscript"/>
        </w:rPr>
        <w:t>s</w:t>
      </w:r>
      <w:r w:rsidRPr="00D44942">
        <w:t>) which are dissolved. In addition to these processes, long isotopic exchange between groundwater and the carbonated aquifer (carbonates dissolution</w:t>
      </w:r>
      <w:r w:rsidR="002529A5">
        <w:t>–</w:t>
      </w:r>
      <w:r w:rsidRPr="00D44942">
        <w:t xml:space="preserve">precipitation) in closed system condition is also contributing to further </w:t>
      </w:r>
      <w:r w:rsidR="008A6FCC" w:rsidRPr="00D44942">
        <w:t>δ</w:t>
      </w:r>
      <w:r w:rsidR="008A6FCC" w:rsidRPr="00D44942">
        <w:rPr>
          <w:vertAlign w:val="superscript"/>
        </w:rPr>
        <w:t>13</w:t>
      </w:r>
      <w:r w:rsidR="008A6FCC" w:rsidRPr="00D44942">
        <w:t>C</w:t>
      </w:r>
      <w:r w:rsidR="008A6FCC" w:rsidRPr="00D44942">
        <w:rPr>
          <w:vertAlign w:val="subscript"/>
        </w:rPr>
        <w:t>DIC</w:t>
      </w:r>
      <w:r w:rsidRPr="00D44942">
        <w:t xml:space="preserve"> enrichment </w:t>
      </w:r>
      <w:r w:rsidR="00F039AD">
        <w:t>[31,36</w:t>
      </w:r>
      <w:r w:rsidRPr="00D44942">
        <w:t>]. Isotopic compositions of soil CO</w:t>
      </w:r>
      <w:r w:rsidRPr="00D44942">
        <w:rPr>
          <w:vertAlign w:val="subscript"/>
        </w:rPr>
        <w:t>2</w:t>
      </w:r>
      <w:r>
        <w:t xml:space="preserve"> depend on the type of vegetation, in the range of </w:t>
      </w:r>
      <w:r w:rsidR="008A6FCC">
        <w:t>δ</w:t>
      </w:r>
      <w:r w:rsidR="008A6FCC" w:rsidRPr="0069261F">
        <w:rPr>
          <w:vertAlign w:val="superscript"/>
        </w:rPr>
        <w:t>13</w:t>
      </w:r>
      <w:r w:rsidR="008A6FCC">
        <w:t>C</w:t>
      </w:r>
      <w:r w:rsidR="008A6FCC">
        <w:rPr>
          <w:vertAlign w:val="subscript"/>
        </w:rPr>
        <w:t>g</w:t>
      </w:r>
      <w:r w:rsidR="00F039AD" w:rsidRPr="00F039AD">
        <w:t xml:space="preserve"> </w:t>
      </w:r>
      <w:r>
        <w:t>=</w:t>
      </w:r>
      <w:r w:rsidR="00F039AD" w:rsidRPr="00F039AD">
        <w:t xml:space="preserve"> </w:t>
      </w:r>
      <w:r w:rsidR="00C17186">
        <w:t>–</w:t>
      </w:r>
      <w:r>
        <w:t xml:space="preserve">20‰ to </w:t>
      </w:r>
      <w:r w:rsidR="00C17186">
        <w:t>–</w:t>
      </w:r>
      <w:r>
        <w:t>26‰ VPDB</w:t>
      </w:r>
      <w:r w:rsidR="00A72D8B">
        <w:t xml:space="preserve"> (</w:t>
      </w:r>
      <w:r w:rsidR="00A72D8B" w:rsidRPr="00A72D8B">
        <w:t>Vienna Pee Dee Belemnite</w:t>
      </w:r>
      <w:r w:rsidR="00A72D8B">
        <w:t>)</w:t>
      </w:r>
      <w:r>
        <w:t xml:space="preserve"> for C3 vegetation, and between </w:t>
      </w:r>
      <w:r w:rsidR="00C17186">
        <w:t>–</w:t>
      </w:r>
      <w:r>
        <w:t xml:space="preserve">10‰ and </w:t>
      </w:r>
      <w:r w:rsidR="00C17186">
        <w:t>–</w:t>
      </w:r>
      <w:r>
        <w:t xml:space="preserve">15‰ VPDB for C4 vegetation </w:t>
      </w:r>
      <w:r w:rsidR="0058379A">
        <w:t>[20,36,37]</w:t>
      </w:r>
      <w:r>
        <w:t>. Studies carried out in the St. Lawrence Lowlands recall the endemic presence of C3 vegetation as woodlands and prair</w:t>
      </w:r>
      <w:r>
        <w:rPr>
          <w:rFonts w:hint="eastAsia"/>
        </w:rPr>
        <w:t>ies [1], but enriched composition due to corn cultivation (C4 vegetation) is also possible and reported [3</w:t>
      </w:r>
      <w:r w:rsidR="006E426C">
        <w:t>8</w:t>
      </w:r>
      <w:r>
        <w:rPr>
          <w:rFonts w:hint="eastAsia"/>
        </w:rPr>
        <w:t>]. Isotopic composition of marine carbonate is typically of about δ</w:t>
      </w:r>
      <w:r w:rsidRPr="0002527E">
        <w:rPr>
          <w:rFonts w:hint="eastAsia"/>
          <w:vertAlign w:val="superscript"/>
        </w:rPr>
        <w:t>13</w:t>
      </w:r>
      <w:r>
        <w:rPr>
          <w:rFonts w:hint="eastAsia"/>
        </w:rPr>
        <w:t>C</w:t>
      </w:r>
      <w:r w:rsidRPr="0002527E">
        <w:rPr>
          <w:rFonts w:hint="eastAsia"/>
          <w:vertAlign w:val="subscript"/>
        </w:rPr>
        <w:t>s</w:t>
      </w:r>
      <w:r w:rsidR="00F039AD" w:rsidRPr="00F039AD">
        <w:t xml:space="preserve"> </w:t>
      </w:r>
      <w:r>
        <w:rPr>
          <w:rFonts w:hint="eastAsia"/>
        </w:rPr>
        <w:t>≈</w:t>
      </w:r>
      <w:r w:rsidR="00F039AD" w:rsidRPr="00F039AD">
        <w:t xml:space="preserve"> </w:t>
      </w:r>
      <w:r>
        <w:rPr>
          <w:rFonts w:hint="eastAsia"/>
        </w:rPr>
        <w:t>0‰ VPDB considering typical</w:t>
      </w:r>
      <w:r>
        <w:t xml:space="preserve"> Ordovician carbonate compositions [3</w:t>
      </w:r>
      <w:r w:rsidR="006E426C">
        <w:t>9]</w:t>
      </w:r>
      <w:r>
        <w:t xml:space="preserve">, which may vary within a narrow range of few </w:t>
      </w:r>
      <w:proofErr w:type="spellStart"/>
      <w:r>
        <w:t>permil</w:t>
      </w:r>
      <w:proofErr w:type="spellEnd"/>
      <w:r>
        <w:t xml:space="preserve"> [</w:t>
      </w:r>
      <w:r w:rsidR="006E426C">
        <w:t>33</w:t>
      </w:r>
      <w:r>
        <w:t>].</w:t>
      </w:r>
    </w:p>
    <w:p w14:paraId="354585EA" w14:textId="3F713087" w:rsidR="00C41EC1" w:rsidRDefault="00DD347B" w:rsidP="00DD347B">
      <w:pPr>
        <w:pStyle w:val="MDPI31text"/>
      </w:pPr>
      <w:r>
        <w:t>Other source of salinity in the context of St. Lawrence</w:t>
      </w:r>
      <w:r w:rsidR="002529A5">
        <w:t>–</w:t>
      </w:r>
      <w:r>
        <w:t xml:space="preserve">Lowlands may be </w:t>
      </w:r>
      <w:r w:rsidR="00CE1C60">
        <w:t xml:space="preserve">associated with </w:t>
      </w:r>
      <w:r>
        <w:t>sulphate (</w:t>
      </w:r>
      <w:r w:rsidR="008A6FCC">
        <w:t>SO</w:t>
      </w:r>
      <w:r w:rsidR="008A6FCC" w:rsidRPr="008A6FCC">
        <w:rPr>
          <w:vertAlign w:val="subscript"/>
        </w:rPr>
        <w:t>4</w:t>
      </w:r>
      <w:r w:rsidR="008A6FCC" w:rsidRPr="008A6FCC">
        <w:rPr>
          <w:vertAlign w:val="superscript"/>
        </w:rPr>
        <w:t>2</w:t>
      </w:r>
      <w:r w:rsidR="00C17186">
        <w:rPr>
          <w:vertAlign w:val="superscript"/>
        </w:rPr>
        <w:t>–</w:t>
      </w:r>
      <w:r>
        <w:t>) inputs like those from gypsum, releasing Ca</w:t>
      </w:r>
      <w:r w:rsidRPr="008A6FCC">
        <w:rPr>
          <w:vertAlign w:val="superscript"/>
        </w:rPr>
        <w:t>2+</w:t>
      </w:r>
      <w:r>
        <w:t xml:space="preserve"> and SO</w:t>
      </w:r>
      <w:r w:rsidRPr="008A6FCC">
        <w:rPr>
          <w:vertAlign w:val="subscript"/>
        </w:rPr>
        <w:t>4</w:t>
      </w:r>
      <w:r w:rsidRPr="008A6FCC">
        <w:rPr>
          <w:vertAlign w:val="superscript"/>
        </w:rPr>
        <w:t>2</w:t>
      </w:r>
      <w:r w:rsidR="00C17186">
        <w:rPr>
          <w:vertAlign w:val="superscript"/>
        </w:rPr>
        <w:t>–</w:t>
      </w:r>
      <w:r>
        <w:t xml:space="preserve"> into groundwater. A reported source of Na</w:t>
      </w:r>
      <w:r w:rsidRPr="0087238B">
        <w:rPr>
          <w:vertAlign w:val="superscript"/>
        </w:rPr>
        <w:t>+</w:t>
      </w:r>
      <w:r>
        <w:t xml:space="preserve"> in the region is due to Ca</w:t>
      </w:r>
      <w:r w:rsidR="00671EB8">
        <w:t>–</w:t>
      </w:r>
      <w:r>
        <w:t>Na and Mg</w:t>
      </w:r>
      <w:r w:rsidR="00671EB8">
        <w:t>–</w:t>
      </w:r>
      <w:r>
        <w:t xml:space="preserve">Na cation exchanges [1], where </w:t>
      </w:r>
      <w:r w:rsidR="008A6FCC">
        <w:t>Ca</w:t>
      </w:r>
      <w:r w:rsidR="008A6FCC" w:rsidRPr="008A6FCC">
        <w:rPr>
          <w:vertAlign w:val="superscript"/>
        </w:rPr>
        <w:t>2+</w:t>
      </w:r>
      <w:r>
        <w:t xml:space="preserve"> and </w:t>
      </w:r>
      <w:r w:rsidR="008A6FCC">
        <w:t>Mg</w:t>
      </w:r>
      <w:r w:rsidR="008A6FCC" w:rsidRPr="008A6FCC">
        <w:rPr>
          <w:vertAlign w:val="superscript"/>
        </w:rPr>
        <w:t>2+</w:t>
      </w:r>
      <w:r>
        <w:t xml:space="preserve"> are preferentially adsorbed onto the clays, inducing the desorption and the release of Na</w:t>
      </w:r>
      <w:r w:rsidRPr="008A6FCC">
        <w:rPr>
          <w:vertAlign w:val="superscript"/>
        </w:rPr>
        <w:t>+</w:t>
      </w:r>
      <w:r>
        <w:t xml:space="preserve"> into groundwater [20]. Intensity of cation exchange may be evaluated by comparing the Na/</w:t>
      </w:r>
      <w:r>
        <w:rPr>
          <w:rFonts w:hint="eastAsia"/>
        </w:rPr>
        <w:t>Cl ratio in groundwater to the one expected from seawater origin (Na/Cl</w:t>
      </w:r>
      <w:r w:rsidR="00C17186">
        <w:t xml:space="preserve"> </w:t>
      </w:r>
      <w:r>
        <w:rPr>
          <w:rFonts w:hint="eastAsia"/>
        </w:rPr>
        <w:t>≈</w:t>
      </w:r>
      <w:r w:rsidR="00C17186">
        <w:t xml:space="preserve"> </w:t>
      </w:r>
      <w:r>
        <w:rPr>
          <w:rFonts w:hint="eastAsia"/>
        </w:rPr>
        <w:t>0.86 [</w:t>
      </w:r>
      <w:r w:rsidR="006E426C">
        <w:t>40</w:t>
      </w:r>
      <w:r>
        <w:rPr>
          <w:rFonts w:hint="eastAsia"/>
        </w:rPr>
        <w:t>]). In the case of the geomorphological context of Quebec, inputs of Na</w:t>
      </w:r>
      <w:r w:rsidRPr="008A6FCC">
        <w:rPr>
          <w:rFonts w:hint="eastAsia"/>
          <w:vertAlign w:val="superscript"/>
        </w:rPr>
        <w:t>+</w:t>
      </w:r>
      <w:r>
        <w:rPr>
          <w:rFonts w:hint="eastAsia"/>
        </w:rPr>
        <w:t xml:space="preserve"> and Cl</w:t>
      </w:r>
      <w:r w:rsidR="003A42EF">
        <w:rPr>
          <w:rFonts w:hint="eastAsia"/>
          <w:vertAlign w:val="superscript"/>
        </w:rPr>
        <w:t>–</w:t>
      </w:r>
      <w:r w:rsidR="003A42EF">
        <w:rPr>
          <w:vertAlign w:val="superscript"/>
        </w:rPr>
        <w:t xml:space="preserve"> </w:t>
      </w:r>
      <w:r>
        <w:rPr>
          <w:rFonts w:hint="eastAsia"/>
        </w:rPr>
        <w:t xml:space="preserve">are usually inferred from the Champlain Sea </w:t>
      </w:r>
      <w:r w:rsidR="005D7C59">
        <w:t>marine invasion</w:t>
      </w:r>
      <w:r>
        <w:rPr>
          <w:rFonts w:hint="eastAsia"/>
        </w:rPr>
        <w:t>, as confined brackish water a</w:t>
      </w:r>
      <w:r>
        <w:t>nd/or pore water in low</w:t>
      </w:r>
      <w:r w:rsidR="002529A5">
        <w:t>–</w:t>
      </w:r>
      <w:r>
        <w:t>permeability matrices and aquitards [3</w:t>
      </w:r>
      <w:r w:rsidR="006E426C">
        <w:t>4</w:t>
      </w:r>
      <w:r>
        <w:t>], and from long</w:t>
      </w:r>
      <w:r w:rsidR="002529A5">
        <w:t>–</w:t>
      </w:r>
      <w:r>
        <w:t>term diffusion of Na</w:t>
      </w:r>
      <w:r w:rsidR="00671EB8">
        <w:t>–</w:t>
      </w:r>
      <w:r>
        <w:t>Cl from marine clay freshening [10]</w:t>
      </w:r>
      <w:r w:rsidR="00EC2561">
        <w:t>.</w:t>
      </w:r>
    </w:p>
    <w:p w14:paraId="472F22AC" w14:textId="71C24D42" w:rsidR="00E94B1B" w:rsidRDefault="00C41EC1" w:rsidP="00AE41EA">
      <w:pPr>
        <w:pStyle w:val="MDPI21heading1"/>
      </w:pPr>
      <w:r>
        <w:br w:type="page"/>
      </w:r>
      <w:r w:rsidR="00E94B1B" w:rsidRPr="001F31D1">
        <w:lastRenderedPageBreak/>
        <w:t xml:space="preserve">3. </w:t>
      </w:r>
      <w:r w:rsidR="0027366A">
        <w:t>Methods</w:t>
      </w:r>
    </w:p>
    <w:p w14:paraId="53839555" w14:textId="18EEEA00" w:rsidR="0027366A" w:rsidRPr="00AE41EA" w:rsidRDefault="00AE41EA" w:rsidP="00AE41EA">
      <w:pPr>
        <w:pStyle w:val="MDPI22heading2"/>
      </w:pPr>
      <w:r w:rsidRPr="00AE41EA">
        <w:t xml:space="preserve">3.1. </w:t>
      </w:r>
      <w:r w:rsidR="007742BE" w:rsidRPr="00AE41EA">
        <w:t xml:space="preserve">Passive </w:t>
      </w:r>
      <w:r w:rsidR="003A42EF" w:rsidRPr="00AE41EA">
        <w:t>S</w:t>
      </w:r>
      <w:r w:rsidR="007742BE" w:rsidRPr="00AE41EA">
        <w:t xml:space="preserve">ampler </w:t>
      </w:r>
      <w:r w:rsidR="003A42EF" w:rsidRPr="00AE41EA">
        <w:t>D</w:t>
      </w:r>
      <w:r w:rsidR="007742BE" w:rsidRPr="00AE41EA">
        <w:t xml:space="preserve">escription and </w:t>
      </w:r>
      <w:r w:rsidR="003A42EF" w:rsidRPr="00AE41EA">
        <w:t>D</w:t>
      </w:r>
      <w:r w:rsidR="007742BE" w:rsidRPr="00AE41EA">
        <w:t>esign</w:t>
      </w:r>
    </w:p>
    <w:p w14:paraId="2BD81323" w14:textId="3EC223A5" w:rsidR="0027366A" w:rsidRDefault="0027366A" w:rsidP="00AE41EA">
      <w:pPr>
        <w:pStyle w:val="MDPI31text"/>
      </w:pPr>
      <w:r>
        <w:t>Passive samplers were developed for the collection of non</w:t>
      </w:r>
      <w:r w:rsidR="002529A5">
        <w:t>–</w:t>
      </w:r>
      <w:r>
        <w:t>gaseous solutes (e.g., major ions, δ</w:t>
      </w:r>
      <w:r w:rsidRPr="0027366A">
        <w:rPr>
          <w:vertAlign w:val="superscript"/>
        </w:rPr>
        <w:t>2</w:t>
      </w:r>
      <w:r>
        <w:t>H, δ</w:t>
      </w:r>
      <w:r w:rsidRPr="0027366A">
        <w:rPr>
          <w:vertAlign w:val="superscript"/>
        </w:rPr>
        <w:t>18</w:t>
      </w:r>
      <w:r>
        <w:t>O and δ</w:t>
      </w:r>
      <w:r w:rsidRPr="0027366A">
        <w:rPr>
          <w:vertAlign w:val="superscript"/>
        </w:rPr>
        <w:t>13</w:t>
      </w:r>
      <w:r>
        <w:t xml:space="preserve">C data presented in this work). The sampling is called “passive” as the equilibration at the inside of the sampler is reached through </w:t>
      </w:r>
      <w:proofErr w:type="gramStart"/>
      <w:r>
        <w:t>physically</w:t>
      </w:r>
      <w:r w:rsidR="002529A5">
        <w:t>–</w:t>
      </w:r>
      <w:r>
        <w:t>driven</w:t>
      </w:r>
      <w:proofErr w:type="gramEnd"/>
      <w:r>
        <w:t xml:space="preserve"> solute transport, without any action from mechanical or electrical devices. The principle of passive sampling is to place samplers in the wellbore until their content equilibrate with composition of the groundwater at the depth they are placed at. As the dominant physical process (e.g., molecular diffusion or convection) responsible for the equilibration is unknown, different equilibration tests were performed in controlled conditions in the laboratory. Laboratory testing is also essential to understand the kinetic of the equilibration and to ensure that samplers are left in wells long enough to accurately collect groundwater at depth with a pristine chemical composition.</w:t>
      </w:r>
    </w:p>
    <w:p w14:paraId="7651F0F4" w14:textId="024608DE" w:rsidR="00E94B1B" w:rsidRDefault="0027366A" w:rsidP="0027366A">
      <w:pPr>
        <w:pStyle w:val="MDPI31text"/>
      </w:pPr>
      <w:r>
        <w:t>The samplers consist of 0.5 L Nalgene</w:t>
      </w:r>
      <w:r w:rsidR="00C41EC1">
        <w:t xml:space="preserve"> </w:t>
      </w:r>
      <w:bookmarkStart w:id="3" w:name="_Hlk75433831"/>
      <w:r w:rsidR="000704AF">
        <w:t>high-density</w:t>
      </w:r>
      <w:r w:rsidR="00C41EC1">
        <w:t xml:space="preserve"> polyethylene</w:t>
      </w:r>
      <w:bookmarkEnd w:id="3"/>
      <w:r w:rsidR="00C41EC1">
        <w:t xml:space="preserve"> </w:t>
      </w:r>
      <w:r>
        <w:t>bottles with a 2.5</w:t>
      </w:r>
      <w:r w:rsidR="00F039AD" w:rsidRPr="00F039AD">
        <w:t xml:space="preserve"> </w:t>
      </w:r>
      <w:r>
        <w:t xml:space="preserve">cm diameter open </w:t>
      </w:r>
      <w:proofErr w:type="spellStart"/>
      <w:r>
        <w:t>Tygon</w:t>
      </w:r>
      <w:proofErr w:type="spellEnd"/>
      <w:r>
        <w:t xml:space="preserve"> tubing at the </w:t>
      </w:r>
      <w:r w:rsidRPr="00671EB8">
        <w:t>top (Figure 2). Prior</w:t>
      </w:r>
      <w:r>
        <w:t xml:space="preserve"> to</w:t>
      </w:r>
      <w:r w:rsidRPr="00F039AD">
        <w:t xml:space="preserve"> </w:t>
      </w:r>
      <w:r w:rsidRPr="00F039AD">
        <w:rPr>
          <w:iCs/>
        </w:rPr>
        <w:t>in situ</w:t>
      </w:r>
      <w:r w:rsidRPr="00F039AD">
        <w:t xml:space="preserve"> </w:t>
      </w:r>
      <w:r>
        <w:t>positioning, the samplers are pre</w:t>
      </w:r>
      <w:r w:rsidR="002529A5">
        <w:t>–</w:t>
      </w:r>
      <w:r>
        <w:t>filled with distilled and degassed water to minimize unwanted contribution of any solute from the outside of the well. Passive samplers are installed and centered at a chosen depth by fixing them to a weighted line trolled down into the wellbore. As soon as collected out of the wellbore, the water inside the upper tubing of the sampler is discarded to prevent collecting water mixtures that may occur when the sampler is trolled up to the surface. Once recovered, the samplers are immediately sealed without head space and their content is later dispatched into different vials at the laboratory for subsequent analysis. Transfers into vials using syringes are carefully operated to minimize contact with the atmosphere</w:t>
      </w:r>
      <w:r w:rsidR="00EC2561">
        <w:t>.</w:t>
      </w:r>
    </w:p>
    <w:p w14:paraId="433788A8" w14:textId="3F0491D7" w:rsidR="0027366A" w:rsidRPr="0027366A" w:rsidRDefault="001A7AF1" w:rsidP="00671EB8">
      <w:pPr>
        <w:pStyle w:val="MDPI52figure"/>
        <w:ind w:left="2608"/>
        <w:jc w:val="left"/>
      </w:pPr>
      <w:r>
        <w:rPr>
          <w:noProof/>
        </w:rPr>
        <w:drawing>
          <wp:inline distT="0" distB="0" distL="0" distR="0" wp14:anchorId="0D3B2E4E" wp14:editId="6C9F5C3C">
            <wp:extent cx="2945181" cy="16719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698" cy="1677926"/>
                    </a:xfrm>
                    <a:prstGeom prst="rect">
                      <a:avLst/>
                    </a:prstGeom>
                    <a:noFill/>
                  </pic:spPr>
                </pic:pic>
              </a:graphicData>
            </a:graphic>
          </wp:inline>
        </w:drawing>
      </w:r>
    </w:p>
    <w:p w14:paraId="4F9AE605" w14:textId="13CEB41C" w:rsidR="0027366A" w:rsidRDefault="0027366A" w:rsidP="0027366A">
      <w:pPr>
        <w:pStyle w:val="MDPI51figurecaption"/>
      </w:pPr>
      <w:r w:rsidRPr="00FA04F1">
        <w:rPr>
          <w:b/>
        </w:rPr>
        <w:t xml:space="preserve">Figure </w:t>
      </w:r>
      <w:r>
        <w:rPr>
          <w:b/>
        </w:rPr>
        <w:t>2</w:t>
      </w:r>
      <w:r w:rsidRPr="00FA04F1">
        <w:rPr>
          <w:b/>
        </w:rPr>
        <w:t xml:space="preserve">. </w:t>
      </w:r>
      <w:r w:rsidRPr="0027366A">
        <w:t>Groundwater passive sampler and dispatch to subsequent vials for analysis</w:t>
      </w:r>
      <w:r>
        <w:t>.</w:t>
      </w:r>
    </w:p>
    <w:p w14:paraId="731882A8" w14:textId="35167845" w:rsidR="0027366A" w:rsidRDefault="0027366A" w:rsidP="007742BE">
      <w:pPr>
        <w:pStyle w:val="MDPI22heading2"/>
        <w:spacing w:before="240"/>
      </w:pPr>
      <w:r>
        <w:t xml:space="preserve">3.2. </w:t>
      </w:r>
      <w:r w:rsidRPr="0027366A">
        <w:t xml:space="preserve">Passive </w:t>
      </w:r>
      <w:r w:rsidR="006069DA">
        <w:t>S</w:t>
      </w:r>
      <w:r w:rsidRPr="0027366A">
        <w:t xml:space="preserve">ampler </w:t>
      </w:r>
      <w:r w:rsidR="006069DA">
        <w:t>L</w:t>
      </w:r>
      <w:r w:rsidRPr="0027366A">
        <w:t xml:space="preserve">aboratory </w:t>
      </w:r>
      <w:r w:rsidR="006069DA">
        <w:t>T</w:t>
      </w:r>
      <w:r w:rsidRPr="0027366A">
        <w:t>esting</w:t>
      </w:r>
    </w:p>
    <w:p w14:paraId="3B0AB676" w14:textId="1B676A27" w:rsidR="0027366A" w:rsidRDefault="0027366A" w:rsidP="0027366A">
      <w:pPr>
        <w:pStyle w:val="MDPI31text"/>
      </w:pPr>
      <w:r w:rsidRPr="0027366A">
        <w:t>Equilibration tests were carried out in the laboratory with passive samplers (0.5 L) placed in water tanks (25 L) filled with different Na</w:t>
      </w:r>
      <w:r w:rsidR="00AD7B8F">
        <w:t>–</w:t>
      </w:r>
      <w:r w:rsidRPr="0027366A">
        <w:t xml:space="preserve">Cl </w:t>
      </w:r>
      <w:r w:rsidRPr="00D54FB8">
        <w:t>solutions (Figure 3). The</w:t>
      </w:r>
      <w:r w:rsidRPr="0027366A">
        <w:t xml:space="preserve"> electrical conductivity of the solutions was monitored during re</w:t>
      </w:r>
      <w:r w:rsidR="002529A5">
        <w:t>–</w:t>
      </w:r>
      <w:r w:rsidRPr="0027366A">
        <w:t>equilibration. The first test intended to reproduce the</w:t>
      </w:r>
      <w:r w:rsidRPr="00F039AD">
        <w:t xml:space="preserve"> </w:t>
      </w:r>
      <w:proofErr w:type="gramStart"/>
      <w:r w:rsidRPr="00F039AD">
        <w:rPr>
          <w:iCs/>
        </w:rPr>
        <w:t>in situ</w:t>
      </w:r>
      <w:proofErr w:type="gramEnd"/>
      <w:r w:rsidRPr="00F039AD">
        <w:t xml:space="preserve"> </w:t>
      </w:r>
      <w:r w:rsidRPr="0027366A">
        <w:t>manipulation, the sampler being filled with distilled water and having an initial temperature warmer than that of the environment (Figure 3a). The second test is carried under isothermal conditions for both containers, the sampler being filled with higher mineralized water (Figure 3b). The later test is designed to study the transport by molecular diffusion from the sampler to the tank.</w:t>
      </w:r>
    </w:p>
    <w:p w14:paraId="40B806CB" w14:textId="112C710C" w:rsidR="0027366A" w:rsidRDefault="001A7AF1" w:rsidP="00E12BCF">
      <w:pPr>
        <w:pStyle w:val="MDPI31text"/>
        <w:ind w:hanging="56"/>
        <w:rPr>
          <w:noProof/>
          <w:snapToGrid/>
          <w:lang w:val="de-CH" w:eastAsia="de-CH"/>
        </w:rPr>
      </w:pPr>
      <w:r>
        <w:rPr>
          <w:noProof/>
          <w:snapToGrid/>
          <w:lang w:val="de-CH" w:eastAsia="de-CH"/>
        </w:rPr>
        <w:lastRenderedPageBreak/>
        <w:drawing>
          <wp:inline distT="0" distB="0" distL="0" distR="0" wp14:anchorId="7F18AD16" wp14:editId="19554223">
            <wp:extent cx="2232936" cy="199834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5511" cy="2009598"/>
                    </a:xfrm>
                    <a:prstGeom prst="rect">
                      <a:avLst/>
                    </a:prstGeom>
                    <a:noFill/>
                  </pic:spPr>
                </pic:pic>
              </a:graphicData>
            </a:graphic>
          </wp:inline>
        </w:drawing>
      </w:r>
    </w:p>
    <w:p w14:paraId="3B6FC5C8" w14:textId="711637E5" w:rsidR="0027366A" w:rsidRDefault="0027366A" w:rsidP="0027366A">
      <w:pPr>
        <w:pStyle w:val="MDPI51figurecaption"/>
      </w:pPr>
      <w:r w:rsidRPr="00FA04F1">
        <w:rPr>
          <w:b/>
        </w:rPr>
        <w:t xml:space="preserve">Figure </w:t>
      </w:r>
      <w:r>
        <w:rPr>
          <w:b/>
        </w:rPr>
        <w:t>3</w:t>
      </w:r>
      <w:r w:rsidRPr="00FA04F1">
        <w:rPr>
          <w:b/>
        </w:rPr>
        <w:t xml:space="preserve">. </w:t>
      </w:r>
      <w:r w:rsidRPr="0027366A">
        <w:t>Laboratory re</w:t>
      </w:r>
      <w:r w:rsidR="002529A5">
        <w:t>–</w:t>
      </w:r>
      <w:r w:rsidRPr="0027366A">
        <w:t>equilibration tests for passive liquid samplers (</w:t>
      </w:r>
      <w:r w:rsidRPr="00AD7B8F">
        <w:rPr>
          <w:b/>
          <w:bCs/>
        </w:rPr>
        <w:t>a</w:t>
      </w:r>
      <w:r w:rsidRPr="0027366A">
        <w:t xml:space="preserve">) sampler filled with distilled water, as used </w:t>
      </w:r>
      <w:r w:rsidR="00CE1C60" w:rsidRPr="00CE1C60">
        <w:rPr>
          <w:iCs/>
        </w:rPr>
        <w:t>in situ</w:t>
      </w:r>
      <w:r w:rsidRPr="0027366A">
        <w:t>, (</w:t>
      </w:r>
      <w:r w:rsidRPr="00AD7B8F">
        <w:rPr>
          <w:b/>
          <w:bCs/>
        </w:rPr>
        <w:t>b</w:t>
      </w:r>
      <w:r w:rsidRPr="0027366A">
        <w:t>) sampler containing a solution more saline but similar temperature than its environment to only study molecular diffusion</w:t>
      </w:r>
      <w:r>
        <w:t>.</w:t>
      </w:r>
      <w:r w:rsidR="00AD7B8F">
        <w:t xml:space="preserve"> </w:t>
      </w:r>
    </w:p>
    <w:p w14:paraId="2753F9CD" w14:textId="656BB59A" w:rsidR="00CE65D3" w:rsidRDefault="00CE65D3" w:rsidP="007742BE">
      <w:pPr>
        <w:pStyle w:val="MDPI22heading2"/>
        <w:spacing w:before="240"/>
      </w:pPr>
      <w:r>
        <w:t xml:space="preserve">3.3. </w:t>
      </w:r>
      <w:r w:rsidRPr="00CE65D3">
        <w:t xml:space="preserve">Passive </w:t>
      </w:r>
      <w:r w:rsidR="006069DA">
        <w:t>S</w:t>
      </w:r>
      <w:r w:rsidRPr="00CE65D3">
        <w:t xml:space="preserve">amplers’ </w:t>
      </w:r>
      <w:r w:rsidR="006069DA">
        <w:t>P</w:t>
      </w:r>
      <w:r w:rsidRPr="00CE65D3">
        <w:t xml:space="preserve">lacement </w:t>
      </w:r>
      <w:r w:rsidR="006069DA">
        <w:t>D</w:t>
      </w:r>
      <w:r w:rsidRPr="00CE65D3">
        <w:t xml:space="preserve">etermined from </w:t>
      </w:r>
      <w:r w:rsidR="006069DA">
        <w:t>P</w:t>
      </w:r>
      <w:r w:rsidRPr="00CE65D3">
        <w:t xml:space="preserve">revious </w:t>
      </w:r>
      <w:r w:rsidR="006069DA">
        <w:t>P</w:t>
      </w:r>
      <w:r w:rsidRPr="00CE65D3">
        <w:t xml:space="preserve">hysical </w:t>
      </w:r>
      <w:r w:rsidR="006069DA">
        <w:t>B</w:t>
      </w:r>
      <w:r w:rsidRPr="00CE65D3">
        <w:t xml:space="preserve">orehole </w:t>
      </w:r>
      <w:r w:rsidR="006069DA">
        <w:t>S</w:t>
      </w:r>
      <w:r w:rsidRPr="00CE65D3">
        <w:t>urveys</w:t>
      </w:r>
    </w:p>
    <w:p w14:paraId="5BA2FA7F" w14:textId="57671891" w:rsidR="00CE65D3" w:rsidRDefault="00CE65D3" w:rsidP="00CE65D3">
      <w:pPr>
        <w:pStyle w:val="MDPI31text"/>
      </w:pPr>
      <w:r w:rsidRPr="00CE65D3">
        <w:t xml:space="preserve">In the context of heterogeneous aquifers (implicitly including fractured aquifers), sequential passive </w:t>
      </w:r>
      <w:r w:rsidRPr="00A6413F">
        <w:t xml:space="preserve">sampling would benefit by being preceded by physical borehole investigations </w:t>
      </w:r>
      <w:r w:rsidR="00F039AD">
        <w:t>[23,41</w:t>
      </w:r>
      <w:r w:rsidRPr="00A6413F">
        <w:t>]. This allows addressing the distribution of the productive zones (Equation 1</w:t>
      </w:r>
      <w:r w:rsidR="002646D9">
        <w:t>.</w:t>
      </w:r>
      <w:r w:rsidRPr="00A6413F">
        <w:t xml:space="preserve">), as well as to identify the occurrence of ambient flows, if any. Indeed, the recharge and discharge of aquifers commonly involve a minor vertical component that results in a vertical hydraulic head gradient. The latter is expressed by vertical ambient flows </w:t>
      </w:r>
      <w:r w:rsidR="005E703F" w:rsidRPr="00A6413F">
        <w:t xml:space="preserve">occurring </w:t>
      </w:r>
      <w:r w:rsidRPr="00A6413F">
        <w:t>in</w:t>
      </w:r>
      <w:r w:rsidR="002D5A75" w:rsidRPr="00A6413F">
        <w:t>to</w:t>
      </w:r>
      <w:r w:rsidRPr="00A6413F">
        <w:t xml:space="preserve"> the boreholes </w:t>
      </w:r>
      <w:r w:rsidR="00F039AD">
        <w:t>[22,41</w:t>
      </w:r>
      <w:r w:rsidRPr="00A6413F">
        <w:t>]. Passive sampler</w:t>
      </w:r>
      <w:r w:rsidRPr="00CE65D3">
        <w:t xml:space="preserve"> placement is determined by the position of water inflows into the wellbore, downstream of each of them according to the flow direction in the water </w:t>
      </w:r>
      <w:r w:rsidRPr="006069DA">
        <w:t>column (Figure 4). When the</w:t>
      </w:r>
      <w:r w:rsidRPr="00CE65D3">
        <w:t xml:space="preserve"> sampler is located outside of a mixing zone, the sampler directly collects the water composition </w:t>
      </w:r>
      <w:r w:rsidR="00CE1C60">
        <w:t xml:space="preserve">associated with </w:t>
      </w:r>
      <w:r w:rsidRPr="00CE65D3">
        <w:t xml:space="preserve">the fracture (i.e., </w:t>
      </w:r>
      <w:proofErr w:type="spellStart"/>
      <w:r>
        <w:t>C</w:t>
      </w:r>
      <w:r w:rsidRPr="00CE65D3">
        <w:rPr>
          <w:vertAlign w:val="subscript"/>
        </w:rPr>
        <w:t>z</w:t>
      </w:r>
      <w:proofErr w:type="spellEnd"/>
      <w:r w:rsidR="002529A5">
        <w:rPr>
          <w:vertAlign w:val="subscript"/>
        </w:rPr>
        <w:t>–</w:t>
      </w:r>
      <w:r w:rsidRPr="00CE65D3">
        <w:rPr>
          <w:vertAlign w:val="subscript"/>
        </w:rPr>
        <w:t>1</w:t>
      </w:r>
      <w:r>
        <w:t>=</w:t>
      </w:r>
      <w:proofErr w:type="spellStart"/>
      <w:r>
        <w:t>C</w:t>
      </w:r>
      <w:r w:rsidRPr="00CE65D3">
        <w:rPr>
          <w:vertAlign w:val="superscript"/>
        </w:rPr>
        <w:t>f</w:t>
      </w:r>
      <w:r w:rsidRPr="00CE65D3">
        <w:rPr>
          <w:vertAlign w:val="subscript"/>
        </w:rPr>
        <w:t>z</w:t>
      </w:r>
      <w:proofErr w:type="spellEnd"/>
      <w:r w:rsidR="002529A5">
        <w:rPr>
          <w:vertAlign w:val="subscript"/>
        </w:rPr>
        <w:t>–</w:t>
      </w:r>
      <w:r w:rsidRPr="00CE65D3">
        <w:rPr>
          <w:vertAlign w:val="subscript"/>
        </w:rPr>
        <w:t>1</w:t>
      </w:r>
      <w:r w:rsidRPr="00CE65D3">
        <w:t>, Figure 4). When the sampler is located within a mixing zone, the composition collected represents the mixing of upstream productive zones. Within mixing zones, the water composition relative to each fracture (</w:t>
      </w:r>
      <w:proofErr w:type="spellStart"/>
      <w:r>
        <w:t>C</w:t>
      </w:r>
      <w:r w:rsidRPr="00CE65D3">
        <w:rPr>
          <w:vertAlign w:val="superscript"/>
        </w:rPr>
        <w:t>f</w:t>
      </w:r>
      <w:r w:rsidRPr="00CE65D3">
        <w:rPr>
          <w:vertAlign w:val="subscript"/>
        </w:rPr>
        <w:t>z</w:t>
      </w:r>
      <w:proofErr w:type="spellEnd"/>
      <w:r w:rsidRPr="00CE65D3">
        <w:t>) can be calculated by deconvoluting the compositions collected at adjacent samplers (Equation 2</w:t>
      </w:r>
      <w:r w:rsidR="002646D9">
        <w:t>.</w:t>
      </w:r>
      <w:r w:rsidRPr="00CE65D3">
        <w:t>)</w:t>
      </w:r>
      <w:r w:rsidRPr="0027366A">
        <w:t>.</w:t>
      </w:r>
    </w:p>
    <w:p w14:paraId="5D7DEB39" w14:textId="314B81AC" w:rsidR="00421B10" w:rsidRDefault="00FE5916" w:rsidP="008101E7">
      <w:pPr>
        <w:pStyle w:val="MDPI31text"/>
        <w:ind w:hanging="56"/>
      </w:pPr>
      <w:r>
        <w:rPr>
          <w:noProof/>
        </w:rPr>
        <w:drawing>
          <wp:inline distT="0" distB="0" distL="0" distR="0" wp14:anchorId="39F03937" wp14:editId="2A5F9E60">
            <wp:extent cx="1196340" cy="25298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6340" cy="2529840"/>
                    </a:xfrm>
                    <a:prstGeom prst="rect">
                      <a:avLst/>
                    </a:prstGeom>
                    <a:noFill/>
                    <a:ln>
                      <a:noFill/>
                    </a:ln>
                  </pic:spPr>
                </pic:pic>
              </a:graphicData>
            </a:graphic>
          </wp:inline>
        </w:drawing>
      </w:r>
    </w:p>
    <w:p w14:paraId="43F74EAE" w14:textId="4272FA7B" w:rsidR="00861CFF" w:rsidRDefault="008101E7" w:rsidP="008101E7">
      <w:pPr>
        <w:pStyle w:val="MDPI51figurecaption"/>
        <w:jc w:val="both"/>
      </w:pPr>
      <w:r w:rsidRPr="008101E7">
        <w:rPr>
          <w:b/>
        </w:rPr>
        <w:t xml:space="preserve">Figure 4. </w:t>
      </w:r>
      <w:r w:rsidR="00861CFF" w:rsidRPr="00CE65D3">
        <w:t>Representation of flow conditions and sampler placement in long screened wellbores during pumping</w:t>
      </w:r>
      <w:r w:rsidR="00861CFF">
        <w:t>.</w:t>
      </w:r>
    </w:p>
    <w:p w14:paraId="5000180D" w14:textId="31C0B688" w:rsidR="00001FA9" w:rsidRDefault="005C026C" w:rsidP="00001FA9">
      <w:pPr>
        <w:pStyle w:val="MDPI51figurecaption"/>
        <w:jc w:val="right"/>
        <w:rPr>
          <w:sz w:val="20"/>
          <w:szCs w:val="22"/>
        </w:rPr>
      </w:pPr>
      <m:oMath>
        <m:sSub>
          <m:sSubPr>
            <m:ctrlPr>
              <w:rPr>
                <w:rFonts w:ascii="Cambria Math" w:hAnsi="Cambria Math"/>
                <w:i/>
                <w:sz w:val="24"/>
                <w:szCs w:val="28"/>
              </w:rPr>
            </m:ctrlPr>
          </m:sSubPr>
          <m:e>
            <m:r>
              <w:rPr>
                <w:rFonts w:ascii="Cambria Math" w:hAnsi="Cambria Math"/>
                <w:sz w:val="24"/>
                <w:szCs w:val="28"/>
              </w:rPr>
              <m:t>Q</m:t>
            </m:r>
          </m:e>
          <m:sub>
            <m:r>
              <w:rPr>
                <w:rFonts w:ascii="Cambria Math" w:hAnsi="Cambria Math"/>
                <w:sz w:val="24"/>
                <w:szCs w:val="28"/>
              </w:rPr>
              <m:t>T</m:t>
            </m:r>
          </m:sub>
        </m:sSub>
        <m:r>
          <w:rPr>
            <w:rFonts w:ascii="Cambria Math" w:hAnsi="Cambria Math"/>
            <w:sz w:val="24"/>
            <w:szCs w:val="28"/>
          </w:rPr>
          <m:t>=</m:t>
        </m:r>
        <m:nary>
          <m:naryPr>
            <m:chr m:val="∑"/>
            <m:limLoc m:val="subSup"/>
            <m:ctrlPr>
              <w:rPr>
                <w:rFonts w:ascii="Cambria Math" w:hAnsi="Cambria Math"/>
                <w:i/>
                <w:sz w:val="24"/>
                <w:szCs w:val="28"/>
              </w:rPr>
            </m:ctrlPr>
          </m:naryPr>
          <m:sub>
            <m:sSub>
              <m:sSubPr>
                <m:ctrlPr>
                  <w:rPr>
                    <w:rFonts w:ascii="Cambria Math" w:hAnsi="Cambria Math"/>
                    <w:i/>
                    <w:sz w:val="24"/>
                    <w:szCs w:val="28"/>
                  </w:rPr>
                </m:ctrlPr>
              </m:sSubPr>
              <m:e>
                <m:r>
                  <w:rPr>
                    <w:rFonts w:ascii="Cambria Math" w:hAnsi="Cambria Math"/>
                    <w:sz w:val="24"/>
                    <w:szCs w:val="28"/>
                  </w:rPr>
                  <m:t>z</m:t>
                </m:r>
              </m:e>
              <m:sub>
                <m:r>
                  <w:rPr>
                    <w:rFonts w:ascii="Cambria Math" w:hAnsi="Cambria Math"/>
                    <w:sz w:val="24"/>
                    <w:szCs w:val="28"/>
                  </w:rPr>
                  <m:t>min</m:t>
                </m:r>
              </m:sub>
            </m:sSub>
          </m:sub>
          <m:sup>
            <m:sSub>
              <m:sSubPr>
                <m:ctrlPr>
                  <w:rPr>
                    <w:rFonts w:ascii="Cambria Math" w:hAnsi="Cambria Math"/>
                    <w:i/>
                    <w:sz w:val="24"/>
                    <w:szCs w:val="28"/>
                  </w:rPr>
                </m:ctrlPr>
              </m:sSubPr>
              <m:e>
                <m:r>
                  <w:rPr>
                    <w:rFonts w:ascii="Cambria Math" w:hAnsi="Cambria Math"/>
                    <w:sz w:val="24"/>
                    <w:szCs w:val="28"/>
                  </w:rPr>
                  <m:t>z</m:t>
                </m:r>
              </m:e>
              <m:sub>
                <m:r>
                  <w:rPr>
                    <w:rFonts w:ascii="Cambria Math" w:hAnsi="Cambria Math"/>
                    <w:sz w:val="24"/>
                    <w:szCs w:val="28"/>
                  </w:rPr>
                  <m:t>max</m:t>
                </m:r>
              </m:sub>
            </m:sSub>
          </m:sup>
          <m:e>
            <m:sSub>
              <m:sSubPr>
                <m:ctrlPr>
                  <w:rPr>
                    <w:rFonts w:ascii="Cambria Math" w:hAnsi="Cambria Math"/>
                    <w:i/>
                    <w:sz w:val="24"/>
                    <w:szCs w:val="28"/>
                  </w:rPr>
                </m:ctrlPr>
              </m:sSubPr>
              <m:e>
                <m:r>
                  <w:rPr>
                    <w:rFonts w:ascii="Cambria Math" w:hAnsi="Cambria Math"/>
                    <w:sz w:val="24"/>
                    <w:szCs w:val="28"/>
                  </w:rPr>
                  <m:t>q</m:t>
                </m:r>
              </m:e>
              <m:sub>
                <m:r>
                  <w:rPr>
                    <w:rFonts w:ascii="Cambria Math" w:hAnsi="Cambria Math"/>
                    <w:sz w:val="24"/>
                    <w:szCs w:val="28"/>
                  </w:rPr>
                  <m:t>z</m:t>
                </m:r>
              </m:sub>
            </m:sSub>
          </m:e>
        </m:nary>
      </m:oMath>
      <w:r w:rsidR="00001FA9">
        <w:tab/>
      </w:r>
      <w:r w:rsidR="00001FA9">
        <w:tab/>
      </w:r>
      <w:r w:rsidR="00001FA9">
        <w:tab/>
      </w:r>
      <w:r w:rsidR="00001FA9">
        <w:tab/>
      </w:r>
      <w:r w:rsidR="008A56AD">
        <w:tab/>
      </w:r>
      <w:r w:rsidR="00001FA9">
        <w:tab/>
      </w:r>
      <w:r w:rsidR="00001FA9">
        <w:tab/>
      </w:r>
      <w:r w:rsidR="00001FA9">
        <w:tab/>
      </w:r>
      <w:r w:rsidR="00001FA9" w:rsidRPr="00001FA9">
        <w:rPr>
          <w:sz w:val="20"/>
          <w:szCs w:val="22"/>
        </w:rPr>
        <w:t>(1)</w:t>
      </w:r>
    </w:p>
    <w:p w14:paraId="0D2B45E2" w14:textId="49273C3F" w:rsidR="00001FA9" w:rsidRDefault="005C026C" w:rsidP="00001FA9">
      <w:pPr>
        <w:pStyle w:val="MDPI51figurecaption"/>
        <w:jc w:val="right"/>
        <w:rPr>
          <w:sz w:val="20"/>
          <w:szCs w:val="22"/>
        </w:rPr>
      </w:pPr>
      <m:oMath>
        <m:sSubSup>
          <m:sSubSupPr>
            <m:ctrlPr>
              <w:rPr>
                <w:rFonts w:ascii="Cambria Math" w:hAnsi="Cambria Math"/>
                <w:i/>
                <w:sz w:val="24"/>
                <w:szCs w:val="28"/>
              </w:rPr>
            </m:ctrlPr>
          </m:sSubSupPr>
          <m:e>
            <m:r>
              <w:rPr>
                <w:rFonts w:ascii="Cambria Math" w:hAnsi="Cambria Math"/>
                <w:sz w:val="24"/>
                <w:szCs w:val="28"/>
              </w:rPr>
              <m:t>C</m:t>
            </m:r>
          </m:e>
          <m:sub>
            <m:r>
              <w:rPr>
                <w:rFonts w:ascii="Cambria Math" w:hAnsi="Cambria Math"/>
                <w:sz w:val="24"/>
                <w:szCs w:val="28"/>
              </w:rPr>
              <m:t>z</m:t>
            </m:r>
          </m:sub>
          <m:sup>
            <m:r>
              <w:rPr>
                <w:rFonts w:ascii="Cambria Math" w:hAnsi="Cambria Math"/>
                <w:sz w:val="24"/>
                <w:szCs w:val="28"/>
              </w:rPr>
              <m:t>f</m:t>
            </m:r>
          </m:sup>
        </m:sSubSup>
        <m:r>
          <w:rPr>
            <w:rFonts w:ascii="Cambria Math" w:hAnsi="Cambria Math"/>
            <w:sz w:val="24"/>
            <w:szCs w:val="28"/>
          </w:rPr>
          <m:t>=</m:t>
        </m:r>
        <m:f>
          <m:fPr>
            <m:ctrlPr>
              <w:rPr>
                <w:rFonts w:ascii="Cambria Math" w:hAnsi="Cambria Math"/>
                <w:i/>
                <w:sz w:val="24"/>
                <w:szCs w:val="28"/>
              </w:rPr>
            </m:ctrlPr>
          </m:fPr>
          <m:num>
            <m:d>
              <m:dPr>
                <m:ctrlPr>
                  <w:rPr>
                    <w:rFonts w:ascii="Cambria Math" w:hAnsi="Cambria Math"/>
                    <w:i/>
                    <w:sz w:val="24"/>
                    <w:szCs w:val="28"/>
                  </w:rPr>
                </m:ctrlPr>
              </m:dPr>
              <m:e>
                <m:sSub>
                  <m:sSubPr>
                    <m:ctrlPr>
                      <w:rPr>
                        <w:rFonts w:ascii="Cambria Math" w:hAnsi="Cambria Math"/>
                        <w:i/>
                        <w:sz w:val="24"/>
                        <w:szCs w:val="28"/>
                      </w:rPr>
                    </m:ctrlPr>
                  </m:sSubPr>
                  <m:e>
                    <m:r>
                      <w:rPr>
                        <w:rFonts w:ascii="Cambria Math" w:hAnsi="Cambria Math"/>
                        <w:sz w:val="24"/>
                        <w:szCs w:val="28"/>
                      </w:rPr>
                      <m:t>q</m:t>
                    </m:r>
                  </m:e>
                  <m:sub>
                    <m:r>
                      <w:rPr>
                        <w:rFonts w:ascii="Cambria Math" w:hAnsi="Cambria Math"/>
                        <w:sz w:val="24"/>
                        <w:szCs w:val="28"/>
                      </w:rPr>
                      <m:t>z</m:t>
                    </m:r>
                  </m:sub>
                </m:sSub>
                <m:r>
                  <w:rPr>
                    <w:rFonts w:ascii="Cambria Math" w:hAnsi="Cambria Math"/>
                    <w:sz w:val="24"/>
                    <w:szCs w:val="28"/>
                  </w:rPr>
                  <m:t>+</m:t>
                </m:r>
                <m:sSub>
                  <m:sSubPr>
                    <m:ctrlPr>
                      <w:rPr>
                        <w:rFonts w:ascii="Cambria Math" w:hAnsi="Cambria Math"/>
                        <w:i/>
                        <w:sz w:val="24"/>
                        <w:szCs w:val="28"/>
                      </w:rPr>
                    </m:ctrlPr>
                  </m:sSubPr>
                  <m:e>
                    <m:r>
                      <w:rPr>
                        <w:rFonts w:ascii="Cambria Math" w:hAnsi="Cambria Math"/>
                        <w:sz w:val="24"/>
                        <w:szCs w:val="28"/>
                      </w:rPr>
                      <m:t>q</m:t>
                    </m:r>
                  </m:e>
                  <m:sub>
                    <m:r>
                      <w:rPr>
                        <w:rFonts w:ascii="Cambria Math" w:hAnsi="Cambria Math"/>
                        <w:sz w:val="24"/>
                        <w:szCs w:val="28"/>
                      </w:rPr>
                      <m:t>z-1</m:t>
                    </m:r>
                  </m:sub>
                </m:sSub>
              </m:e>
            </m:d>
            <m:sSub>
              <m:sSubPr>
                <m:ctrlPr>
                  <w:rPr>
                    <w:rFonts w:ascii="Cambria Math" w:hAnsi="Cambria Math"/>
                    <w:i/>
                    <w:sz w:val="24"/>
                    <w:szCs w:val="28"/>
                  </w:rPr>
                </m:ctrlPr>
              </m:sSubPr>
              <m:e>
                <m:r>
                  <w:rPr>
                    <w:rFonts w:ascii="Cambria Math" w:hAnsi="Cambria Math"/>
                    <w:sz w:val="24"/>
                    <w:szCs w:val="28"/>
                  </w:rPr>
                  <m:t>C</m:t>
                </m:r>
              </m:e>
              <m:sub>
                <m:r>
                  <w:rPr>
                    <w:rFonts w:ascii="Cambria Math" w:hAnsi="Cambria Math"/>
                    <w:sz w:val="24"/>
                    <w:szCs w:val="28"/>
                  </w:rPr>
                  <m:t>z</m:t>
                </m:r>
              </m:sub>
            </m:sSub>
            <m:r>
              <w:rPr>
                <w:rFonts w:ascii="Cambria Math" w:hAnsi="Cambria Math"/>
                <w:sz w:val="24"/>
                <w:szCs w:val="28"/>
              </w:rPr>
              <m:t xml:space="preserve"> - </m:t>
            </m:r>
            <m:sSub>
              <m:sSubPr>
                <m:ctrlPr>
                  <w:rPr>
                    <w:rFonts w:ascii="Cambria Math" w:hAnsi="Cambria Math"/>
                    <w:i/>
                    <w:sz w:val="24"/>
                    <w:szCs w:val="28"/>
                  </w:rPr>
                </m:ctrlPr>
              </m:sSubPr>
              <m:e>
                <m:r>
                  <w:rPr>
                    <w:rFonts w:ascii="Cambria Math" w:hAnsi="Cambria Math"/>
                    <w:sz w:val="24"/>
                    <w:szCs w:val="28"/>
                  </w:rPr>
                  <m:t>q</m:t>
                </m:r>
              </m:e>
              <m:sub>
                <m:r>
                  <w:rPr>
                    <w:rFonts w:ascii="Cambria Math" w:hAnsi="Cambria Math"/>
                    <w:sz w:val="24"/>
                    <w:szCs w:val="28"/>
                  </w:rPr>
                  <m:t>z-1</m:t>
                </m:r>
              </m:sub>
            </m:sSub>
            <m:sSub>
              <m:sSubPr>
                <m:ctrlPr>
                  <w:rPr>
                    <w:rFonts w:ascii="Cambria Math" w:hAnsi="Cambria Math"/>
                    <w:i/>
                    <w:sz w:val="24"/>
                    <w:szCs w:val="28"/>
                  </w:rPr>
                </m:ctrlPr>
              </m:sSubPr>
              <m:e>
                <m:r>
                  <w:rPr>
                    <w:rFonts w:ascii="Cambria Math" w:hAnsi="Cambria Math"/>
                    <w:sz w:val="24"/>
                    <w:szCs w:val="28"/>
                  </w:rPr>
                  <m:t>C</m:t>
                </m:r>
              </m:e>
              <m:sub>
                <m:r>
                  <w:rPr>
                    <w:rFonts w:ascii="Cambria Math" w:hAnsi="Cambria Math"/>
                    <w:sz w:val="24"/>
                    <w:szCs w:val="28"/>
                  </w:rPr>
                  <m:t>z-1</m:t>
                </m:r>
              </m:sub>
            </m:sSub>
          </m:num>
          <m:den>
            <m:sSub>
              <m:sSubPr>
                <m:ctrlPr>
                  <w:rPr>
                    <w:rFonts w:ascii="Cambria Math" w:hAnsi="Cambria Math"/>
                    <w:i/>
                    <w:sz w:val="24"/>
                    <w:szCs w:val="28"/>
                  </w:rPr>
                </m:ctrlPr>
              </m:sSubPr>
              <m:e>
                <m:r>
                  <w:rPr>
                    <w:rFonts w:ascii="Cambria Math" w:hAnsi="Cambria Math"/>
                    <w:sz w:val="24"/>
                    <w:szCs w:val="28"/>
                  </w:rPr>
                  <m:t>q</m:t>
                </m:r>
              </m:e>
              <m:sub>
                <m:r>
                  <w:rPr>
                    <w:rFonts w:ascii="Cambria Math" w:hAnsi="Cambria Math"/>
                    <w:sz w:val="24"/>
                    <w:szCs w:val="28"/>
                  </w:rPr>
                  <m:t>z</m:t>
                </m:r>
              </m:sub>
            </m:sSub>
          </m:den>
        </m:f>
      </m:oMath>
      <w:r w:rsidR="00001FA9">
        <w:tab/>
      </w:r>
      <w:r w:rsidR="00001FA9">
        <w:tab/>
      </w:r>
      <w:r w:rsidR="008A56AD">
        <w:tab/>
      </w:r>
      <w:r w:rsidR="00001FA9">
        <w:tab/>
      </w:r>
      <w:r w:rsidR="00001FA9">
        <w:tab/>
      </w:r>
      <w:r w:rsidR="00001FA9">
        <w:tab/>
      </w:r>
      <w:r w:rsidR="00001FA9" w:rsidRPr="00001FA9">
        <w:rPr>
          <w:sz w:val="20"/>
          <w:szCs w:val="22"/>
        </w:rPr>
        <w:t>(</w:t>
      </w:r>
      <w:r w:rsidR="00001FA9">
        <w:rPr>
          <w:sz w:val="20"/>
          <w:szCs w:val="22"/>
        </w:rPr>
        <w:t>2</w:t>
      </w:r>
      <w:r w:rsidR="00001FA9" w:rsidRPr="00001FA9">
        <w:rPr>
          <w:sz w:val="20"/>
          <w:szCs w:val="22"/>
        </w:rPr>
        <w:t>)</w:t>
      </w:r>
    </w:p>
    <w:p w14:paraId="78CCD082" w14:textId="381954A3" w:rsidR="00D4271B" w:rsidRDefault="00671091" w:rsidP="00A46CE8">
      <w:pPr>
        <w:pStyle w:val="MDPI31text"/>
      </w:pPr>
      <w:r w:rsidRPr="00671091">
        <w:lastRenderedPageBreak/>
        <w:t>The physical parameters of the productive zones were measured out by borehole logging, using spinner flowmeter and optical surveys, with a particular focus on high</w:t>
      </w:r>
      <w:r w:rsidR="002529A5">
        <w:t>–</w:t>
      </w:r>
      <w:r w:rsidRPr="00671091">
        <w:t xml:space="preserve">resolution temperature sensing. The summary of hydraulic characteristics (total well depth, casing length, depth to the water table, flow distribution), obtained from the pumping of all wellbores is shown in Figures 5 and 6. Details about </w:t>
      </w:r>
      <w:r w:rsidR="00EE0D1A">
        <w:t xml:space="preserve">these </w:t>
      </w:r>
      <w:r w:rsidRPr="00671091">
        <w:t xml:space="preserve">physical borehole surveys are described in previous </w:t>
      </w:r>
      <w:r w:rsidR="002E199D">
        <w:t xml:space="preserve">published </w:t>
      </w:r>
      <w:r w:rsidRPr="00671091">
        <w:t xml:space="preserve">works </w:t>
      </w:r>
      <w:r w:rsidR="00F039AD">
        <w:t>[41,42</w:t>
      </w:r>
      <w:r w:rsidR="00005021">
        <w:t>].</w:t>
      </w:r>
      <w:r w:rsidR="00005021" w:rsidRPr="00005021">
        <w:t xml:space="preserve"> </w:t>
      </w:r>
      <w:bookmarkStart w:id="4" w:name="_Hlk75469651"/>
      <w:r w:rsidR="00005021" w:rsidRPr="00005021">
        <w:t>The detection thresholds evaluated for the measurement of vertical water flows in wells with a diameter of 150</w:t>
      </w:r>
      <w:r w:rsidR="00F039AD" w:rsidRPr="00F039AD">
        <w:t xml:space="preserve"> </w:t>
      </w:r>
      <w:r w:rsidR="00005021" w:rsidRPr="00005021">
        <w:t>mm</w:t>
      </w:r>
      <w:r w:rsidR="00005021">
        <w:t xml:space="preserve"> </w:t>
      </w:r>
      <w:r w:rsidR="00005021" w:rsidRPr="00005021">
        <w:t>ar</w:t>
      </w:r>
      <w:r w:rsidR="00CE1C60" w:rsidRPr="00005021">
        <w:t>e</w:t>
      </w:r>
      <w:r w:rsidR="00CE1C60" w:rsidRPr="00CE1C60">
        <w:t>, respectively</w:t>
      </w:r>
      <w:r w:rsidR="00CE1C60">
        <w:t>,</w:t>
      </w:r>
      <w:r w:rsidR="00005021" w:rsidRPr="00005021">
        <w:t xml:space="preserve"> </w:t>
      </w:r>
      <w:r w:rsidR="00005021" w:rsidRPr="00671091">
        <w:t>1</w:t>
      </w:r>
      <w:r w:rsidR="00F039AD" w:rsidRPr="00F039AD">
        <w:t xml:space="preserve"> </w:t>
      </w:r>
      <w:r w:rsidR="00005021" w:rsidRPr="00671091">
        <w:t>L/min</w:t>
      </w:r>
      <w:r w:rsidR="00005021" w:rsidRPr="00005021">
        <w:t xml:space="preserve"> </w:t>
      </w:r>
      <w:r w:rsidR="00005021">
        <w:t xml:space="preserve">with the spinner flowmeter </w:t>
      </w:r>
      <w:r w:rsidR="00005021" w:rsidRPr="00005021">
        <w:t xml:space="preserve">and </w:t>
      </w:r>
      <w:r w:rsidR="00005021">
        <w:t>0.0</w:t>
      </w:r>
      <w:r w:rsidR="00005021" w:rsidRPr="00671091">
        <w:t>1</w:t>
      </w:r>
      <w:r w:rsidR="00F039AD" w:rsidRPr="00F039AD">
        <w:t xml:space="preserve"> </w:t>
      </w:r>
      <w:r w:rsidR="00005021" w:rsidRPr="00671091">
        <w:t>L/min</w:t>
      </w:r>
      <w:r w:rsidR="00005021" w:rsidRPr="00005021">
        <w:t xml:space="preserve"> </w:t>
      </w:r>
      <w:r w:rsidR="00005021">
        <w:t xml:space="preserve">with </w:t>
      </w:r>
      <w:r w:rsidR="00005021" w:rsidRPr="00671091">
        <w:t>high</w:t>
      </w:r>
      <w:r w:rsidR="002529A5">
        <w:t>–</w:t>
      </w:r>
      <w:r w:rsidR="00005021" w:rsidRPr="00671091">
        <w:t>resolution temperature sensing</w:t>
      </w:r>
      <w:r w:rsidR="00005021">
        <w:t xml:space="preserve"> </w:t>
      </w:r>
      <w:r w:rsidR="00005021" w:rsidRPr="00671091">
        <w:t>[</w:t>
      </w:r>
      <w:r w:rsidR="00005021">
        <w:t>41]</w:t>
      </w:r>
      <w:r w:rsidR="00005021" w:rsidRPr="00005021">
        <w:t>.</w:t>
      </w:r>
      <w:bookmarkEnd w:id="4"/>
    </w:p>
    <w:p w14:paraId="370621AC" w14:textId="018E39F5" w:rsidR="00D4271B" w:rsidRDefault="00671091" w:rsidP="00A46CE8">
      <w:pPr>
        <w:pStyle w:val="MDPI31text"/>
      </w:pPr>
      <w:r w:rsidRPr="00671091">
        <w:t>Among the ten wells that were accessible for this study, the logging survey</w:t>
      </w:r>
      <w:r w:rsidR="0003792A">
        <w:t xml:space="preserve"> </w:t>
      </w:r>
      <w:r w:rsidRPr="00671091">
        <w:t xml:space="preserve">without pumping revealed the occurrence of flows already occurring </w:t>
      </w:r>
      <w:r w:rsidR="0003792A">
        <w:t xml:space="preserve">permanently </w:t>
      </w:r>
      <w:r w:rsidRPr="00671091">
        <w:t>in six wells (</w:t>
      </w:r>
      <w:r w:rsidR="0003792A">
        <w:t xml:space="preserve">i.e., those represented </w:t>
      </w:r>
      <w:r w:rsidR="0003792A" w:rsidRPr="00BD6F18">
        <w:t xml:space="preserve">in </w:t>
      </w:r>
      <w:r w:rsidRPr="00BD6F18">
        <w:t>Figure 5). Given</w:t>
      </w:r>
      <w:r w:rsidRPr="00671091">
        <w:t xml:space="preserve"> the high flow rates measured, Napierville</w:t>
      </w:r>
      <w:r w:rsidR="00F039AD" w:rsidRPr="00F039AD">
        <w:t xml:space="preserve"> </w:t>
      </w:r>
      <w:r w:rsidRPr="00671091">
        <w:t>PO2, St.</w:t>
      </w:r>
      <w:r w:rsidR="00F039AD" w:rsidRPr="00F039AD">
        <w:t xml:space="preserve"> </w:t>
      </w:r>
      <w:proofErr w:type="spellStart"/>
      <w:r w:rsidRPr="00671091">
        <w:t>Roch</w:t>
      </w:r>
      <w:proofErr w:type="spellEnd"/>
      <w:r w:rsidRPr="00671091">
        <w:t xml:space="preserve">, Mirabel and </w:t>
      </w:r>
      <w:proofErr w:type="spellStart"/>
      <w:r w:rsidRPr="00671091">
        <w:t>Ormstown</w:t>
      </w:r>
      <w:proofErr w:type="spellEnd"/>
      <w:r w:rsidRPr="00671091">
        <w:t xml:space="preserve"> wells are certainly influenced by nearby municipal pumping, inducing </w:t>
      </w:r>
      <w:r w:rsidR="0003792A">
        <w:t xml:space="preserve">strong and </w:t>
      </w:r>
      <w:r w:rsidRPr="00671091">
        <w:t>forced bypass drainage through interconnected fractures. For Napierville</w:t>
      </w:r>
      <w:r w:rsidR="00F039AD" w:rsidRPr="00F039AD">
        <w:t xml:space="preserve"> </w:t>
      </w:r>
      <w:r w:rsidRPr="00671091">
        <w:t xml:space="preserve">P6 and </w:t>
      </w:r>
      <w:proofErr w:type="spellStart"/>
      <w:r w:rsidRPr="00671091">
        <w:t>Hemmingford</w:t>
      </w:r>
      <w:proofErr w:type="spellEnd"/>
      <w:r w:rsidRPr="00671091">
        <w:t xml:space="preserve"> wells, flows in static conditions were not identified from spinner flowmeter survey</w:t>
      </w:r>
      <w:r w:rsidR="0003792A">
        <w:t>ing</w:t>
      </w:r>
      <w:r w:rsidRPr="00671091">
        <w:t>, but were highlighted by more sensitive temperature surveys</w:t>
      </w:r>
      <w:r w:rsidR="0003792A">
        <w:t>, suggesting the occurrence of low and ambient flows</w:t>
      </w:r>
      <w:r w:rsidRPr="00671091">
        <w:t>.</w:t>
      </w:r>
    </w:p>
    <w:p w14:paraId="55C409AE" w14:textId="0CA00C02" w:rsidR="00671091" w:rsidRPr="00671091" w:rsidRDefault="00C33995" w:rsidP="008B5F7C">
      <w:pPr>
        <w:pStyle w:val="MDPI52figure"/>
        <w:ind w:firstLine="142"/>
        <w:jc w:val="left"/>
        <w:rPr>
          <w:b/>
        </w:rPr>
      </w:pPr>
      <w:r>
        <w:rPr>
          <w:b/>
          <w:noProof/>
        </w:rPr>
        <w:drawing>
          <wp:inline distT="0" distB="0" distL="0" distR="0" wp14:anchorId="051A8D88" wp14:editId="770FB931">
            <wp:extent cx="6539277" cy="373916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7067" cy="3755059"/>
                    </a:xfrm>
                    <a:prstGeom prst="rect">
                      <a:avLst/>
                    </a:prstGeom>
                    <a:noFill/>
                  </pic:spPr>
                </pic:pic>
              </a:graphicData>
            </a:graphic>
          </wp:inline>
        </w:drawing>
      </w:r>
    </w:p>
    <w:p w14:paraId="210661BE" w14:textId="03E4B2B8" w:rsidR="00671091" w:rsidRDefault="00D130AB" w:rsidP="00D130AB">
      <w:pPr>
        <w:pStyle w:val="MDPI51figurecaption"/>
        <w:ind w:left="425" w:right="425"/>
        <w:jc w:val="both"/>
      </w:pPr>
      <w:r w:rsidRPr="00D130AB">
        <w:rPr>
          <w:b/>
        </w:rPr>
        <w:t xml:space="preserve">Figure 5. </w:t>
      </w:r>
      <w:r w:rsidR="00A01967" w:rsidRPr="00A01967">
        <w:rPr>
          <w:bCs/>
        </w:rPr>
        <w:t xml:space="preserve">Placement of passive samplers for wells </w:t>
      </w:r>
      <w:r w:rsidR="00671091" w:rsidRPr="00671091">
        <w:t>i</w:t>
      </w:r>
      <w:r w:rsidR="009D2362">
        <w:t>mpacted</w:t>
      </w:r>
      <w:r w:rsidR="00671091" w:rsidRPr="00671091">
        <w:t xml:space="preserve"> </w:t>
      </w:r>
      <w:r w:rsidR="002F7F82">
        <w:t>by permanent</w:t>
      </w:r>
      <w:r w:rsidR="00671091" w:rsidRPr="00671091">
        <w:t xml:space="preserve"> flows</w:t>
      </w:r>
      <w:r w:rsidR="00C72352">
        <w:t xml:space="preserve"> (natural ambient flows and </w:t>
      </w:r>
      <w:r w:rsidR="00DE58C2">
        <w:t>bypass</w:t>
      </w:r>
      <w:r w:rsidR="00C72352">
        <w:t xml:space="preserve"> flows induced by nearby municipal pumping)</w:t>
      </w:r>
      <w:bookmarkStart w:id="5" w:name="_Hlk75333209"/>
      <w:r w:rsidR="00940712" w:rsidRPr="00940712">
        <w:t>.</w:t>
      </w:r>
      <w:bookmarkEnd w:id="5"/>
    </w:p>
    <w:p w14:paraId="181CA9CE" w14:textId="1B10020D" w:rsidR="008B5F7C" w:rsidRDefault="008B5F7C" w:rsidP="00D130AB">
      <w:pPr>
        <w:pStyle w:val="MDPI31text"/>
      </w:pPr>
      <w:r>
        <w:t xml:space="preserve">For the other wellbores </w:t>
      </w:r>
      <w:r w:rsidRPr="00671091">
        <w:t>accessible for this study</w:t>
      </w:r>
      <w:r w:rsidRPr="00D4271B">
        <w:t xml:space="preserve"> </w:t>
      </w:r>
      <w:r>
        <w:t xml:space="preserve">(i.e., </w:t>
      </w:r>
      <w:r w:rsidRPr="00671091">
        <w:t>Chateauguay, St.</w:t>
      </w:r>
      <w:r w:rsidR="00F039AD" w:rsidRPr="00F039AD">
        <w:t xml:space="preserve"> </w:t>
      </w:r>
      <w:r w:rsidRPr="00671091">
        <w:t>Lazare, Abbotsford</w:t>
      </w:r>
      <w:r w:rsidR="00F039AD" w:rsidRPr="00F039AD">
        <w:t xml:space="preserve"> </w:t>
      </w:r>
      <w:r w:rsidRPr="00671091">
        <w:t>PO5 and PO</w:t>
      </w:r>
      <w:r>
        <w:t>7, Figure</w:t>
      </w:r>
      <w:r w:rsidR="00F039AD" w:rsidRPr="00F039AD">
        <w:t xml:space="preserve"> </w:t>
      </w:r>
      <w:r>
        <w:t>6), no detectable flows were reported by h</w:t>
      </w:r>
      <w:r w:rsidRPr="00671091">
        <w:t>igh</w:t>
      </w:r>
      <w:r w:rsidR="002529A5">
        <w:t>–</w:t>
      </w:r>
      <w:r w:rsidRPr="00671091">
        <w:t>resolution temperature survey</w:t>
      </w:r>
      <w:r>
        <w:t xml:space="preserve">s in “static condition” (i.e., surveys performed without actively </w:t>
      </w:r>
      <w:r w:rsidRPr="00671091">
        <w:t>pumping</w:t>
      </w:r>
      <w:r>
        <w:t xml:space="preserve"> the wellbore).</w:t>
      </w:r>
      <w:r w:rsidRPr="00671091">
        <w:t xml:space="preserve"> </w:t>
      </w:r>
      <w:r>
        <w:t xml:space="preserve">The latter wellbores likely have stagnant </w:t>
      </w:r>
      <w:r w:rsidRPr="00671091">
        <w:t>water columns</w:t>
      </w:r>
      <w:r>
        <w:t xml:space="preserve"> in static condition, and thus appeared not influenced by natural ambient flows or </w:t>
      </w:r>
      <w:r w:rsidRPr="00F00AD8">
        <w:t xml:space="preserve">impacted by nearby municipal pumping. The flowing situation shown for Chateauguay in Figure 6 </w:t>
      </w:r>
      <w:r>
        <w:t>was</w:t>
      </w:r>
      <w:r w:rsidRPr="00671091">
        <w:t xml:space="preserve"> </w:t>
      </w:r>
      <w:r>
        <w:t xml:space="preserve">latter </w:t>
      </w:r>
      <w:r w:rsidRPr="00671091">
        <w:t>induced by a low flow pumping at 39 m depth that was</w:t>
      </w:r>
      <w:r>
        <w:t xml:space="preserve"> </w:t>
      </w:r>
      <w:r w:rsidRPr="00671091">
        <w:t>put in place to constrain water fluxes during samplers’ equilibration.</w:t>
      </w:r>
    </w:p>
    <w:p w14:paraId="44CD5419" w14:textId="7EF3F7A7" w:rsidR="00671091" w:rsidRPr="00671091" w:rsidRDefault="00223969" w:rsidP="00704691">
      <w:pPr>
        <w:pStyle w:val="MDPI52figure"/>
        <w:spacing w:after="240"/>
        <w:ind w:left="1985"/>
        <w:jc w:val="left"/>
        <w:rPr>
          <w:b/>
        </w:rPr>
      </w:pPr>
      <w:r>
        <w:rPr>
          <w:b/>
          <w:noProof/>
        </w:rPr>
        <w:lastRenderedPageBreak/>
        <w:drawing>
          <wp:inline distT="0" distB="0" distL="0" distR="0" wp14:anchorId="4540C746" wp14:editId="6FE27D22">
            <wp:extent cx="5354977" cy="3578860"/>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353" cy="3602503"/>
                    </a:xfrm>
                    <a:prstGeom prst="rect">
                      <a:avLst/>
                    </a:prstGeom>
                    <a:noFill/>
                  </pic:spPr>
                </pic:pic>
              </a:graphicData>
            </a:graphic>
          </wp:inline>
        </w:drawing>
      </w:r>
    </w:p>
    <w:p w14:paraId="23ABA53A" w14:textId="4494F6C8" w:rsidR="00671091" w:rsidRDefault="00671091" w:rsidP="00FA7F21">
      <w:pPr>
        <w:pStyle w:val="MDPI51figurecaption"/>
        <w:ind w:left="2550"/>
      </w:pPr>
      <w:r w:rsidRPr="00FA04F1">
        <w:rPr>
          <w:b/>
        </w:rPr>
        <w:t xml:space="preserve">Figure </w:t>
      </w:r>
      <w:r>
        <w:rPr>
          <w:b/>
        </w:rPr>
        <w:t>6</w:t>
      </w:r>
      <w:r w:rsidRPr="00FA04F1">
        <w:rPr>
          <w:b/>
        </w:rPr>
        <w:t xml:space="preserve">. </w:t>
      </w:r>
      <w:r w:rsidRPr="00671091">
        <w:t>Placement of passive samplers for wells having stagnant water column</w:t>
      </w:r>
      <w:r w:rsidR="00A01967">
        <w:t xml:space="preserve"> in static condition</w:t>
      </w:r>
      <w:r w:rsidRPr="00671091">
        <w:t>. Flows for Chateauguay were imposed by a permanent low flow pumping</w:t>
      </w:r>
      <w:bookmarkStart w:id="6" w:name="_Hlk75333772"/>
      <w:bookmarkStart w:id="7" w:name="_Hlk75333402"/>
      <w:bookmarkStart w:id="8" w:name="_Hlk75333659"/>
      <w:r w:rsidR="00EB4DC0">
        <w:t xml:space="preserve"> </w:t>
      </w:r>
      <w:r w:rsidR="00FA7F21">
        <w:t xml:space="preserve">at </w:t>
      </w:r>
      <w:r w:rsidR="008C6652">
        <w:t xml:space="preserve">a depth of </w:t>
      </w:r>
      <w:r w:rsidR="00FA7F21">
        <w:t>39</w:t>
      </w:r>
      <w:r w:rsidR="00F039AD" w:rsidRPr="00F039AD">
        <w:t xml:space="preserve"> </w:t>
      </w:r>
      <w:r w:rsidR="00FA7F21">
        <w:t xml:space="preserve">m </w:t>
      </w:r>
      <w:proofErr w:type="gramStart"/>
      <w:r w:rsidR="00EB4DC0">
        <w:t xml:space="preserve">in order </w:t>
      </w:r>
      <w:r w:rsidR="00FA7F21">
        <w:t>to</w:t>
      </w:r>
      <w:proofErr w:type="gramEnd"/>
      <w:r w:rsidR="00FA7F21">
        <w:t xml:space="preserve"> constrain water flow</w:t>
      </w:r>
      <w:r w:rsidR="008C6652">
        <w:t xml:space="preserve">s </w:t>
      </w:r>
      <w:bookmarkEnd w:id="6"/>
      <w:r w:rsidR="00A01967">
        <w:t xml:space="preserve">during </w:t>
      </w:r>
      <w:r w:rsidR="003B01C5">
        <w:t xml:space="preserve">passive </w:t>
      </w:r>
      <w:r w:rsidR="00A01967">
        <w:t>sampler’s equilibration</w:t>
      </w:r>
      <w:r w:rsidR="00940712" w:rsidRPr="00940712">
        <w:t>.</w:t>
      </w:r>
      <w:bookmarkEnd w:id="7"/>
      <w:bookmarkEnd w:id="8"/>
    </w:p>
    <w:p w14:paraId="37A506AE" w14:textId="5F2963BF" w:rsidR="00671091" w:rsidRDefault="00671091" w:rsidP="00A46CE8">
      <w:pPr>
        <w:pStyle w:val="MDPI31text"/>
      </w:pPr>
      <w:r w:rsidRPr="00671091">
        <w:t xml:space="preserve">The Chateauguay well has the most interesting investigation potential over all the chosen wells as it is not influenced by nearby pumping nor natural </w:t>
      </w:r>
      <w:r w:rsidR="008E26C7">
        <w:t>ambient</w:t>
      </w:r>
      <w:r w:rsidRPr="00671091">
        <w:t xml:space="preserve"> flows, and has fractures relatively well distributed with depth. Chateauguay well was therefore more intensively sampled for geochemistry. A low flow pumping of 1</w:t>
      </w:r>
      <w:r w:rsidR="00F039AD" w:rsidRPr="00F039AD">
        <w:t xml:space="preserve"> </w:t>
      </w:r>
      <w:r w:rsidRPr="00671091">
        <w:t>L/min, imposed at a depth of 39</w:t>
      </w:r>
      <w:r w:rsidR="00F039AD" w:rsidRPr="00F039AD">
        <w:t xml:space="preserve"> </w:t>
      </w:r>
      <w:r w:rsidRPr="00671091">
        <w:t>m</w:t>
      </w:r>
      <w:r w:rsidR="003910D5">
        <w:t xml:space="preserve"> (Figure 6)</w:t>
      </w:r>
      <w:r w:rsidRPr="00671091">
        <w:t>, was used to constrain the water fluxes during the 6</w:t>
      </w:r>
      <w:r w:rsidR="002529A5">
        <w:t>–</w:t>
      </w:r>
      <w:r w:rsidRPr="00671091">
        <w:t xml:space="preserve">days period of passive sampling. This equilibration was set to much longer duration than the duration required for water passive samplers because other passive samplers for gases were simultaneously tested (data not presented here). </w:t>
      </w:r>
      <w:r w:rsidR="003910D5">
        <w:t>Permanent l</w:t>
      </w:r>
      <w:r w:rsidRPr="00671091">
        <w:t>ow</w:t>
      </w:r>
      <w:r w:rsidR="002529A5">
        <w:t>–</w:t>
      </w:r>
      <w:r w:rsidRPr="00671091">
        <w:t>flow pumping was ensured by a stand</w:t>
      </w:r>
      <w:r w:rsidR="002529A5">
        <w:t>–</w:t>
      </w:r>
      <w:r w:rsidRPr="00671091">
        <w:t>alone station including a submersible pump powered by a solar panel. This set</w:t>
      </w:r>
      <w:r w:rsidR="002529A5">
        <w:t>–</w:t>
      </w:r>
      <w:r w:rsidRPr="00671091">
        <w:t>up allowed the calculation of water composition at each fracture by deconvolution from those collected by the passive samplers (Equation 2</w:t>
      </w:r>
      <w:r w:rsidR="002646D9">
        <w:t>.</w:t>
      </w:r>
      <w:r w:rsidRPr="00671091">
        <w:t>). Considering the high bypass flow observed in wells influenced by municipal pumping (i.e., those presented at Figure 5), it was not possible to constrain them with the stand</w:t>
      </w:r>
      <w:r w:rsidR="002529A5">
        <w:t>–</w:t>
      </w:r>
      <w:r w:rsidRPr="00671091">
        <w:t xml:space="preserve">alone pumping system. Temperature surveys were immediately taken following the passive sampler collection and reported identical flow direction as when passive samplers were initially put in place. It was also impossible to ensure that such existing flow would remain constant over time during sampling so that the geochemistry for fractures located within mixing zones were not deconvoluted. The representativeness of depths indicated for geochemistry in all figures and tables is detailed at the </w:t>
      </w:r>
      <w:r w:rsidRPr="00F00AD8">
        <w:t>bottom of Table</w:t>
      </w:r>
      <w:r w:rsidR="004F190C">
        <w:t xml:space="preserve"> </w:t>
      </w:r>
      <w:r w:rsidR="00C33995">
        <w:t>1</w:t>
      </w:r>
      <w:r w:rsidRPr="00F00AD8">
        <w:t>.</w:t>
      </w:r>
    </w:p>
    <w:p w14:paraId="17EC47FB" w14:textId="5A52B224" w:rsidR="00671091" w:rsidRDefault="00671091" w:rsidP="007742BE">
      <w:pPr>
        <w:pStyle w:val="MDPI22heading2"/>
        <w:spacing w:before="240"/>
      </w:pPr>
      <w:bookmarkStart w:id="9" w:name="_Hlk73033954"/>
      <w:r>
        <w:t xml:space="preserve">3.4. </w:t>
      </w:r>
      <w:r w:rsidRPr="00671091">
        <w:t xml:space="preserve">Low </w:t>
      </w:r>
      <w:r w:rsidR="006069DA">
        <w:t>F</w:t>
      </w:r>
      <w:r w:rsidRPr="00671091">
        <w:t xml:space="preserve">low </w:t>
      </w:r>
      <w:r w:rsidR="006069DA">
        <w:t>S</w:t>
      </w:r>
      <w:r w:rsidRPr="00671091">
        <w:t xml:space="preserve">ampling at </w:t>
      </w:r>
      <w:r w:rsidR="006069DA">
        <w:t>D</w:t>
      </w:r>
      <w:r w:rsidRPr="00671091">
        <w:t>epth</w:t>
      </w:r>
    </w:p>
    <w:p w14:paraId="3578E152" w14:textId="0977ED9E" w:rsidR="00671091" w:rsidRDefault="00671091" w:rsidP="00671091">
      <w:pPr>
        <w:pStyle w:val="MDPI31text"/>
      </w:pPr>
      <w:r>
        <w:t>For the Chateauguay well, duplicates of groundwater samples were taken by micro</w:t>
      </w:r>
      <w:r w:rsidR="002529A5">
        <w:t>–</w:t>
      </w:r>
      <w:r>
        <w:t xml:space="preserve">pumping at the passive </w:t>
      </w:r>
      <w:r w:rsidR="000704AF">
        <w:t>samplers’</w:t>
      </w:r>
      <w:r>
        <w:t xml:space="preserve"> depths </w:t>
      </w:r>
      <w:proofErr w:type="gramStart"/>
      <w:r>
        <w:t>in order to</w:t>
      </w:r>
      <w:proofErr w:type="gramEnd"/>
      <w:r>
        <w:t xml:space="preserve"> cross validate both sampling methods. The sampling line consisted of 5 mm diameter</w:t>
      </w:r>
      <w:r w:rsidR="00596E9C">
        <w:t xml:space="preserve"> high density polyethylene</w:t>
      </w:r>
      <w:r>
        <w:t xml:space="preserve"> tubing and the pumping was ensured from a peristaltic pump operated from the surface. Prior to sampling, the tubing was rinsed with distilled water. Sampling was performed at low </w:t>
      </w:r>
      <w:r>
        <w:lastRenderedPageBreak/>
        <w:t>flow rates (0.5 L/min), with flushing duration long enough to ensure that at least five times the volume of the tubing was flushed out before sampling.</w:t>
      </w:r>
    </w:p>
    <w:bookmarkEnd w:id="9"/>
    <w:p w14:paraId="7968E3D9" w14:textId="7C2C9B3F" w:rsidR="00671091" w:rsidRDefault="00671091" w:rsidP="007742BE">
      <w:pPr>
        <w:pStyle w:val="MDPI22heading2"/>
        <w:spacing w:before="240"/>
      </w:pPr>
      <w:r>
        <w:t>3.5</w:t>
      </w:r>
      <w:r w:rsidR="007742BE">
        <w:t>.</w:t>
      </w:r>
      <w:r>
        <w:t xml:space="preserve"> General </w:t>
      </w:r>
      <w:r w:rsidR="00CA2F8E">
        <w:t>S</w:t>
      </w:r>
      <w:r>
        <w:t xml:space="preserve">ampling and </w:t>
      </w:r>
      <w:r w:rsidR="00CA2F8E">
        <w:t>A</w:t>
      </w:r>
      <w:r>
        <w:t xml:space="preserve">nalytical </w:t>
      </w:r>
      <w:r w:rsidR="00CA2F8E">
        <w:t>P</w:t>
      </w:r>
      <w:r>
        <w:t>rocedures</w:t>
      </w:r>
    </w:p>
    <w:p w14:paraId="413005C0" w14:textId="1609C19C" w:rsidR="00671091" w:rsidRDefault="00671091" w:rsidP="00671091">
      <w:pPr>
        <w:pStyle w:val="MDPI31text"/>
      </w:pPr>
      <w:r>
        <w:t>Conductivity and pH were measured for each groundwater sample following the collection of passive samplers at the field. Samples for major ions were dispatched in 60</w:t>
      </w:r>
      <w:r w:rsidR="00F039AD" w:rsidRPr="00F039AD">
        <w:t xml:space="preserve"> </w:t>
      </w:r>
      <w:r>
        <w:t xml:space="preserve">mL </w:t>
      </w:r>
      <w:r w:rsidR="000704AF">
        <w:t>high-density</w:t>
      </w:r>
      <w:r w:rsidR="002E6710" w:rsidRPr="002E6710">
        <w:t xml:space="preserve"> polyethylene</w:t>
      </w:r>
      <w:r>
        <w:t xml:space="preserve"> bottles. Samples for cations were filtered on site using disposable 0.45</w:t>
      </w:r>
      <w:r w:rsidR="00F039AD" w:rsidRPr="00F039AD">
        <w:t xml:space="preserve"> </w:t>
      </w:r>
      <w:proofErr w:type="spellStart"/>
      <w:r>
        <w:t>μm</w:t>
      </w:r>
      <w:proofErr w:type="spellEnd"/>
      <w:r>
        <w:t xml:space="preserve"> nitrocellulose filters and preserved with nitric acid. After filtration, samples for nitrates were preserved with </w:t>
      </w:r>
      <w:proofErr w:type="spellStart"/>
      <w:r>
        <w:t>sulphuric</w:t>
      </w:r>
      <w:proofErr w:type="spellEnd"/>
      <w:r>
        <w:t xml:space="preserve"> acid, using dedicated vials. All samples were kept at 4 °C until their analysis. Major ions (Ca</w:t>
      </w:r>
      <w:r w:rsidRPr="00671091">
        <w:rPr>
          <w:vertAlign w:val="superscript"/>
        </w:rPr>
        <w:t>2+</w:t>
      </w:r>
      <w:r>
        <w:t>, Mg</w:t>
      </w:r>
      <w:r w:rsidRPr="00671091">
        <w:rPr>
          <w:vertAlign w:val="superscript"/>
        </w:rPr>
        <w:t>2+</w:t>
      </w:r>
      <w:r>
        <w:t>, Na</w:t>
      </w:r>
      <w:r w:rsidRPr="00671091">
        <w:rPr>
          <w:vertAlign w:val="superscript"/>
        </w:rPr>
        <w:t>+</w:t>
      </w:r>
      <w:r>
        <w:t>, K</w:t>
      </w:r>
      <w:r w:rsidRPr="00671091">
        <w:rPr>
          <w:vertAlign w:val="superscript"/>
        </w:rPr>
        <w:t>+</w:t>
      </w:r>
      <w:r>
        <w:t>, Cl</w:t>
      </w:r>
      <w:r w:rsidR="002529A5">
        <w:rPr>
          <w:vertAlign w:val="superscript"/>
        </w:rPr>
        <w:t>–</w:t>
      </w:r>
      <w:r>
        <w:t>, SO</w:t>
      </w:r>
      <w:r w:rsidRPr="00671091">
        <w:rPr>
          <w:vertAlign w:val="subscript"/>
        </w:rPr>
        <w:t>4</w:t>
      </w:r>
      <w:r w:rsidRPr="00671091">
        <w:rPr>
          <w:vertAlign w:val="superscript"/>
        </w:rPr>
        <w:t>2</w:t>
      </w:r>
      <w:r w:rsidR="002529A5">
        <w:rPr>
          <w:vertAlign w:val="superscript"/>
        </w:rPr>
        <w:t>–</w:t>
      </w:r>
      <w:r>
        <w:t>, NO</w:t>
      </w:r>
      <w:r w:rsidRPr="00671091">
        <w:rPr>
          <w:vertAlign w:val="subscript"/>
        </w:rPr>
        <w:t>3</w:t>
      </w:r>
      <w:r w:rsidR="002529A5">
        <w:rPr>
          <w:vertAlign w:val="superscript"/>
        </w:rPr>
        <w:t>–</w:t>
      </w:r>
      <w:r>
        <w:t xml:space="preserve">) were analyzed at the </w:t>
      </w:r>
      <w:proofErr w:type="spellStart"/>
      <w:r>
        <w:t>Maxxam</w:t>
      </w:r>
      <w:proofErr w:type="spellEnd"/>
      <w:r>
        <w:t xml:space="preserve"> Laboratory in Montreal (Quebec, Canada). Alkalinity was measured by Gran titration [</w:t>
      </w:r>
      <w:r w:rsidR="003573E8">
        <w:t>43</w:t>
      </w:r>
      <w:r>
        <w:t>] at the</w:t>
      </w:r>
      <w:r w:rsidR="00596E9C">
        <w:t xml:space="preserve"> University of Quebec in Montreal</w:t>
      </w:r>
      <w:r>
        <w:t xml:space="preserve"> water geochemistry laboratory, by the day of the collection of the sample. Samples for stable isotopes of water and δ</w:t>
      </w:r>
      <w:r w:rsidRPr="00671091">
        <w:rPr>
          <w:vertAlign w:val="superscript"/>
        </w:rPr>
        <w:t>13</w:t>
      </w:r>
      <w:r>
        <w:t>C wer</w:t>
      </w:r>
      <w:r w:rsidR="00CE1C60">
        <w:t>e</w:t>
      </w:r>
      <w:r w:rsidR="00CE1C60" w:rsidRPr="00CE1C60">
        <w:t>, respectively</w:t>
      </w:r>
      <w:r w:rsidR="00CE1C60">
        <w:t>,</w:t>
      </w:r>
      <w:r>
        <w:t xml:space="preserve"> collected in 30</w:t>
      </w:r>
      <w:r w:rsidR="00F039AD" w:rsidRPr="00F039AD">
        <w:t xml:space="preserve"> </w:t>
      </w:r>
      <w:r>
        <w:t xml:space="preserve">mL </w:t>
      </w:r>
      <w:r w:rsidR="000704AF">
        <w:t>high-density</w:t>
      </w:r>
      <w:r w:rsidR="002E6710" w:rsidRPr="002E6710">
        <w:t xml:space="preserve"> polyethylene</w:t>
      </w:r>
      <w:r>
        <w:t xml:space="preserve"> and 6</w:t>
      </w:r>
      <w:r w:rsidR="00F039AD">
        <w:t>0</w:t>
      </w:r>
      <w:r w:rsidR="00F039AD" w:rsidRPr="00F039AD">
        <w:t xml:space="preserve"> </w:t>
      </w:r>
      <w:r w:rsidR="00F039AD">
        <w:t xml:space="preserve">mL </w:t>
      </w:r>
      <w:r>
        <w:t>brown glass bottles without head space.</w:t>
      </w:r>
    </w:p>
    <w:p w14:paraId="15D2FACA" w14:textId="7573A0FD" w:rsidR="00A46CE8" w:rsidRPr="001F31D1" w:rsidRDefault="00671091" w:rsidP="00A46CE8">
      <w:pPr>
        <w:pStyle w:val="MDPI21heading1"/>
      </w:pPr>
      <w:r>
        <w:t>4</w:t>
      </w:r>
      <w:r w:rsidR="00A46CE8" w:rsidRPr="001F31D1">
        <w:t>. Results</w:t>
      </w:r>
    </w:p>
    <w:p w14:paraId="38996324" w14:textId="0FE7132E" w:rsidR="00671091" w:rsidRPr="00774813" w:rsidRDefault="00774813" w:rsidP="00774813">
      <w:pPr>
        <w:pStyle w:val="MDPI22heading2"/>
      </w:pPr>
      <w:r w:rsidRPr="00774813">
        <w:t xml:space="preserve">4.1. </w:t>
      </w:r>
      <w:r w:rsidR="00671091" w:rsidRPr="00774813">
        <w:t xml:space="preserve">Passive </w:t>
      </w:r>
      <w:r w:rsidR="00D1247E" w:rsidRPr="00774813">
        <w:t>S</w:t>
      </w:r>
      <w:r w:rsidR="00671091" w:rsidRPr="00774813">
        <w:t xml:space="preserve">ampler </w:t>
      </w:r>
      <w:r w:rsidR="00D1247E" w:rsidRPr="00774813">
        <w:t>T</w:t>
      </w:r>
      <w:r w:rsidR="00671091" w:rsidRPr="00774813">
        <w:t xml:space="preserve">esting in </w:t>
      </w:r>
      <w:r w:rsidR="00D1247E" w:rsidRPr="00774813">
        <w:t>L</w:t>
      </w:r>
      <w:r w:rsidR="00671091" w:rsidRPr="00774813">
        <w:t>aboratory</w:t>
      </w:r>
    </w:p>
    <w:p w14:paraId="59EBD965" w14:textId="5BA6185E" w:rsidR="00A46CE8" w:rsidRDefault="00671091" w:rsidP="00A46CE8">
      <w:pPr>
        <w:pStyle w:val="MDPI31text"/>
      </w:pPr>
      <w:r w:rsidRPr="00671091">
        <w:t>Results of the tests on the equilibration time required for collecting major ions in passive samplers are reported in Figure</w:t>
      </w:r>
      <w:r w:rsidR="00F039AD" w:rsidRPr="00F039AD">
        <w:t xml:space="preserve"> </w:t>
      </w:r>
      <w:r w:rsidRPr="00671091">
        <w:t xml:space="preserve">7. When the sampler is filled with distilled water warmer and less mineralized than its environment, likely inducing natural convection (detailed below), equilibration is achieved within 4 </w:t>
      </w:r>
      <w:r w:rsidR="00F039AD">
        <w:t>h</w:t>
      </w:r>
      <w:r w:rsidRPr="00671091">
        <w:t xml:space="preserve"> (Figure</w:t>
      </w:r>
      <w:r w:rsidR="00F039AD" w:rsidRPr="00F039AD">
        <w:t xml:space="preserve"> </w:t>
      </w:r>
      <w:r w:rsidRPr="00671091">
        <w:t>7a). When only transport by molecular diffusion is occurring, equilibration is achieved after about 20 days (Figure</w:t>
      </w:r>
      <w:r w:rsidR="00F039AD" w:rsidRPr="00F039AD">
        <w:t xml:space="preserve"> </w:t>
      </w:r>
      <w:r w:rsidRPr="00671091">
        <w:t>7b).</w:t>
      </w:r>
    </w:p>
    <w:p w14:paraId="57FFA211" w14:textId="4A0D1C29" w:rsidR="00A46CE8" w:rsidRDefault="00FE5916" w:rsidP="00BF4694">
      <w:pPr>
        <w:pStyle w:val="MDPI52figure"/>
        <w:spacing w:after="240"/>
        <w:ind w:left="2608"/>
        <w:jc w:val="left"/>
        <w:rPr>
          <w:b/>
        </w:rPr>
      </w:pPr>
      <w:r>
        <w:rPr>
          <w:b/>
          <w:noProof/>
        </w:rPr>
        <w:drawing>
          <wp:inline distT="0" distB="0" distL="0" distR="0" wp14:anchorId="439EA3AC" wp14:editId="5EF7232B">
            <wp:extent cx="4716780" cy="170688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6780" cy="1706880"/>
                    </a:xfrm>
                    <a:prstGeom prst="rect">
                      <a:avLst/>
                    </a:prstGeom>
                    <a:noFill/>
                    <a:ln>
                      <a:noFill/>
                    </a:ln>
                  </pic:spPr>
                </pic:pic>
              </a:graphicData>
            </a:graphic>
          </wp:inline>
        </w:drawing>
      </w:r>
    </w:p>
    <w:p w14:paraId="475D3ACB" w14:textId="5150F87C" w:rsidR="006F048F" w:rsidRDefault="006F048F" w:rsidP="006F048F">
      <w:pPr>
        <w:pStyle w:val="MDPI51figurecaption"/>
      </w:pPr>
      <w:r w:rsidRPr="00FA04F1">
        <w:rPr>
          <w:b/>
        </w:rPr>
        <w:t xml:space="preserve">Figure </w:t>
      </w:r>
      <w:r>
        <w:rPr>
          <w:b/>
        </w:rPr>
        <w:t>7</w:t>
      </w:r>
      <w:r w:rsidRPr="00FA04F1">
        <w:rPr>
          <w:b/>
        </w:rPr>
        <w:t xml:space="preserve">. </w:t>
      </w:r>
      <w:r w:rsidRPr="006F048F">
        <w:t>Equilibration results in laboratory: (</w:t>
      </w:r>
      <w:r w:rsidRPr="00D1247E">
        <w:rPr>
          <w:b/>
          <w:bCs/>
        </w:rPr>
        <w:t>a</w:t>
      </w:r>
      <w:r w:rsidRPr="006F048F">
        <w:t>) conditions as implemented</w:t>
      </w:r>
      <w:r w:rsidRPr="00F039AD">
        <w:t xml:space="preserve"> </w:t>
      </w:r>
      <w:r w:rsidRPr="00F039AD">
        <w:rPr>
          <w:iCs/>
        </w:rPr>
        <w:t>in situ</w:t>
      </w:r>
      <w:r w:rsidRPr="00F039AD">
        <w:t xml:space="preserve"> </w:t>
      </w:r>
      <w:r w:rsidRPr="006F048F">
        <w:t>(samplers filled with warmer distilled water), (</w:t>
      </w:r>
      <w:r w:rsidRPr="00D1247E">
        <w:rPr>
          <w:b/>
          <w:bCs/>
        </w:rPr>
        <w:t>b</w:t>
      </w:r>
      <w:r w:rsidRPr="006F048F">
        <w:t>) equilibration soliciting only molecular diffusion (isothermal experience with higher mineralization into the sampler)</w:t>
      </w:r>
      <w:r>
        <w:t>.</w:t>
      </w:r>
    </w:p>
    <w:p w14:paraId="36A1A983" w14:textId="7C39A17F" w:rsidR="006F048F" w:rsidRDefault="003D00B3" w:rsidP="00EB4CF2">
      <w:pPr>
        <w:pStyle w:val="MDPI31text"/>
      </w:pPr>
      <w:r w:rsidRPr="003D00B3">
        <w:t>Measured equilibration time by soliciting only molecular diffusion (Figure</w:t>
      </w:r>
      <w:r w:rsidR="00F039AD" w:rsidRPr="00F039AD">
        <w:t xml:space="preserve"> </w:t>
      </w:r>
      <w:r w:rsidRPr="003D00B3">
        <w:t>7b) is comparable to a theoretical diffusive transport of NaCl in a static water column (Figure</w:t>
      </w:r>
      <w:r w:rsidR="00F039AD" w:rsidRPr="00F039AD">
        <w:t xml:space="preserve"> </w:t>
      </w:r>
      <w:r w:rsidRPr="003D00B3">
        <w:t>8). This latter is calculated considering D*</w:t>
      </w:r>
      <w:r w:rsidRPr="003D00B3">
        <w:rPr>
          <w:vertAlign w:val="subscript"/>
        </w:rPr>
        <w:t>NaCl</w:t>
      </w:r>
      <w:r w:rsidR="00D1247E">
        <w:rPr>
          <w:vertAlign w:val="subscript"/>
        </w:rPr>
        <w:t xml:space="preserve"> </w:t>
      </w:r>
      <w:r w:rsidRPr="003D00B3">
        <w:t>=</w:t>
      </w:r>
      <w:r w:rsidR="00F039AD" w:rsidRPr="00F039AD">
        <w:t xml:space="preserve"> </w:t>
      </w:r>
      <w:r w:rsidRPr="003D00B3">
        <w:t>7.9</w:t>
      </w:r>
      <w:r w:rsidR="00F039AD" w:rsidRPr="00F039AD">
        <w:t xml:space="preserve"> </w:t>
      </w:r>
      <w:r w:rsidRPr="00F00AD8">
        <w:t>10</w:t>
      </w:r>
      <w:r w:rsidR="00F039AD" w:rsidRPr="00F00AD8">
        <w:rPr>
          <w:vertAlign w:val="superscript"/>
        </w:rPr>
        <w:t>−9</w:t>
      </w:r>
      <w:r w:rsidR="00F039AD" w:rsidRPr="00F00AD8">
        <w:t xml:space="preserve"> </w:t>
      </w:r>
      <w:r w:rsidRPr="00F00AD8">
        <w:t>m</w:t>
      </w:r>
      <w:r w:rsidRPr="00F00AD8">
        <w:rPr>
          <w:vertAlign w:val="superscript"/>
        </w:rPr>
        <w:t>2</w:t>
      </w:r>
      <w:r w:rsidRPr="003D00B3">
        <w:t>/s at 20</w:t>
      </w:r>
      <w:r w:rsidR="00F00AD8">
        <w:t xml:space="preserve"> </w:t>
      </w:r>
      <w:r w:rsidRPr="003D00B3">
        <w:t>°C [4</w:t>
      </w:r>
      <w:r w:rsidR="003573E8">
        <w:t>4</w:t>
      </w:r>
      <w:r w:rsidRPr="003D00B3">
        <w:t>], using the analytical solution of Ogata</w:t>
      </w:r>
      <w:r w:rsidR="002529A5">
        <w:t>–</w:t>
      </w:r>
      <w:r w:rsidRPr="003D00B3">
        <w:t>Banks [4</w:t>
      </w:r>
      <w:r w:rsidR="003573E8">
        <w:t>5</w:t>
      </w:r>
      <w:r w:rsidRPr="003D00B3">
        <w:t>] and considering only molecular diffusion (advection terms neglected). The latter calculation evaluates the transport by pure molecular diffusion in an open environment, neglecting wall effects inside the sampler that must lead to even slower solute transport.</w:t>
      </w:r>
    </w:p>
    <w:p w14:paraId="26F0E450" w14:textId="44FBCCEE" w:rsidR="003D00B3" w:rsidRPr="003D00B3" w:rsidRDefault="00FE5916" w:rsidP="008F1B86">
      <w:pPr>
        <w:pStyle w:val="MDPI52figure"/>
        <w:spacing w:after="360"/>
        <w:ind w:left="2608"/>
        <w:jc w:val="left"/>
        <w:rPr>
          <w:b/>
        </w:rPr>
      </w:pPr>
      <w:r>
        <w:rPr>
          <w:b/>
          <w:noProof/>
        </w:rPr>
        <w:lastRenderedPageBreak/>
        <w:drawing>
          <wp:inline distT="0" distB="0" distL="0" distR="0" wp14:anchorId="51511BE7" wp14:editId="485A22F4">
            <wp:extent cx="3192780" cy="2057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t="5338"/>
                    <a:stretch>
                      <a:fillRect/>
                    </a:stretch>
                  </pic:blipFill>
                  <pic:spPr bwMode="auto">
                    <a:xfrm>
                      <a:off x="0" y="0"/>
                      <a:ext cx="3192780" cy="2057400"/>
                    </a:xfrm>
                    <a:prstGeom prst="rect">
                      <a:avLst/>
                    </a:prstGeom>
                    <a:noFill/>
                    <a:ln>
                      <a:noFill/>
                    </a:ln>
                  </pic:spPr>
                </pic:pic>
              </a:graphicData>
            </a:graphic>
          </wp:inline>
        </w:drawing>
      </w:r>
    </w:p>
    <w:p w14:paraId="32EAFAF6" w14:textId="5E380739" w:rsidR="003D00B3" w:rsidRDefault="00145917" w:rsidP="00145917">
      <w:pPr>
        <w:pStyle w:val="MDPI51figurecaption"/>
        <w:jc w:val="both"/>
      </w:pPr>
      <w:r w:rsidRPr="00145917">
        <w:rPr>
          <w:b/>
        </w:rPr>
        <w:t xml:space="preserve">Figure 8. </w:t>
      </w:r>
      <w:r w:rsidR="003D00B3" w:rsidRPr="003D00B3">
        <w:t>Theoretical breakthrough curves for the transport of NaCl by molecular diffusion in stagnant water at 20</w:t>
      </w:r>
      <w:r w:rsidR="002529A5">
        <w:t xml:space="preserve"> </w:t>
      </w:r>
      <w:r w:rsidR="003D00B3" w:rsidRPr="003D00B3">
        <w:t>°C</w:t>
      </w:r>
      <w:r w:rsidR="003D00B3">
        <w:t>.</w:t>
      </w:r>
    </w:p>
    <w:p w14:paraId="4E048585" w14:textId="56BD77EB" w:rsidR="003D00B3" w:rsidRDefault="003D00B3" w:rsidP="003D00B3">
      <w:pPr>
        <w:pStyle w:val="MDPI31text"/>
      </w:pPr>
      <w:r>
        <w:t>Fast equilibration of the samplers within hours (Figure</w:t>
      </w:r>
      <w:r w:rsidR="00F039AD" w:rsidRPr="00F039AD">
        <w:t xml:space="preserve"> </w:t>
      </w:r>
      <w:r>
        <w:t>7</w:t>
      </w:r>
      <w:r w:rsidR="00F039AD" w:rsidRPr="00F039AD">
        <w:t xml:space="preserve"> </w:t>
      </w:r>
      <w:r>
        <w:t>a) suggests that transport by molecular diffusion cannot be dominant. Indeed, theoretical transport evaluated for pure molecular diffusion (Figure</w:t>
      </w:r>
      <w:r w:rsidR="00F039AD" w:rsidRPr="00F039AD">
        <w:t xml:space="preserve"> </w:t>
      </w:r>
      <w:r>
        <w:t>8) over a distance comparable to the height of the sampler (i.e., 15 cm) would be significant only at least after 20 days. The latter theoretical duration is comparable with results obtained when only molecular diffusion is solicited in laboratory’ tests (</w:t>
      </w:r>
      <w:r w:rsidR="00D7748C">
        <w:t>Figure</w:t>
      </w:r>
      <w:r w:rsidR="00F039AD" w:rsidRPr="00F039AD">
        <w:t xml:space="preserve"> </w:t>
      </w:r>
      <w:r w:rsidR="00D7748C">
        <w:t>7b</w:t>
      </w:r>
      <w:r>
        <w:t>). Fast equilibration observed for the sampler as used for the</w:t>
      </w:r>
      <w:r w:rsidRPr="00F039AD">
        <w:t xml:space="preserve"> </w:t>
      </w:r>
      <w:proofErr w:type="gramStart"/>
      <w:r w:rsidRPr="00F039AD">
        <w:rPr>
          <w:iCs/>
        </w:rPr>
        <w:t>in situ</w:t>
      </w:r>
      <w:proofErr w:type="gramEnd"/>
      <w:r w:rsidRPr="00F039AD">
        <w:t xml:space="preserve"> </w:t>
      </w:r>
      <w:r>
        <w:t>protocol (</w:t>
      </w:r>
      <w:r w:rsidR="00D7748C">
        <w:t>Figure</w:t>
      </w:r>
      <w:r w:rsidR="00F039AD" w:rsidRPr="00F039AD">
        <w:t xml:space="preserve"> </w:t>
      </w:r>
      <w:r w:rsidR="00D7748C">
        <w:t>7a</w:t>
      </w:r>
      <w:r>
        <w:t>) must be driven by natural convection flux [4</w:t>
      </w:r>
      <w:r w:rsidR="003573E8">
        <w:t>6</w:t>
      </w:r>
      <w:r>
        <w:t>], initiated from slight differences of fluid density due to differences in temperature and/or solute concentration. Upwards convection currents are inferred from the inside of the sampler (warmer and less mineralized water) towards the water tank and would be simultaneously compensated by downwards convection currents from the water tank (colder and more mineralized water). These convecti</w:t>
      </w:r>
      <w:r>
        <w:rPr>
          <w:rFonts w:hint="eastAsia"/>
        </w:rPr>
        <w:t>on fluxes ultimately result in the rapid homogenization of the sampler with its environment. Such convective transport would always be solicited for</w:t>
      </w:r>
      <w:r w:rsidRPr="00F039AD">
        <w:rPr>
          <w:rFonts w:hint="eastAsia"/>
        </w:rPr>
        <w:t xml:space="preserve"> </w:t>
      </w:r>
      <w:r w:rsidRPr="00F039AD">
        <w:rPr>
          <w:rFonts w:hint="eastAsia"/>
          <w:iCs/>
        </w:rPr>
        <w:t>in situ</w:t>
      </w:r>
      <w:r w:rsidRPr="00F039AD">
        <w:rPr>
          <w:rFonts w:hint="eastAsia"/>
        </w:rPr>
        <w:t xml:space="preserve"> </w:t>
      </w:r>
      <w:r>
        <w:rPr>
          <w:rFonts w:hint="eastAsia"/>
        </w:rPr>
        <w:t>conditions as the samplers were pre</w:t>
      </w:r>
      <w:r w:rsidR="002529A5">
        <w:rPr>
          <w:rFonts w:hint="eastAsia"/>
        </w:rPr>
        <w:t>–</w:t>
      </w:r>
      <w:r>
        <w:rPr>
          <w:rFonts w:hint="eastAsia"/>
        </w:rPr>
        <w:t>filled with warmer distilled water (T</w:t>
      </w:r>
      <w:r w:rsidR="006C5225">
        <w:t xml:space="preserve"> </w:t>
      </w:r>
      <w:r>
        <w:rPr>
          <w:rFonts w:hint="eastAsia"/>
        </w:rPr>
        <w:t>≥</w:t>
      </w:r>
      <w:r w:rsidR="006C5225">
        <w:t xml:space="preserve"> </w:t>
      </w:r>
      <w:r>
        <w:rPr>
          <w:rFonts w:hint="eastAsia"/>
        </w:rPr>
        <w:t>15</w:t>
      </w:r>
      <w:r w:rsidR="006C5225">
        <w:t xml:space="preserve"> </w:t>
      </w:r>
      <w:r>
        <w:rPr>
          <w:rFonts w:hint="eastAsia"/>
        </w:rPr>
        <w:t>°C as fieldwork was alw</w:t>
      </w:r>
      <w:r>
        <w:t>ays performed during summer and fall), compared to groundwater which is necessarily more mineralized and colder all year long (i.e., from between 8 to 10</w:t>
      </w:r>
      <w:r w:rsidR="006C5225">
        <w:t xml:space="preserve"> </w:t>
      </w:r>
      <w:r>
        <w:t xml:space="preserve">°C, and </w:t>
      </w:r>
      <w:r w:rsidR="00741C61">
        <w:t>t</w:t>
      </w:r>
      <w:r w:rsidR="00741C61" w:rsidRPr="00741C61">
        <w:t xml:space="preserve">otal dissolved solids </w:t>
      </w:r>
      <w:r w:rsidR="00741C61">
        <w:t>(</w:t>
      </w:r>
      <w:r>
        <w:t>TDS</w:t>
      </w:r>
      <w:r w:rsidR="00741C61">
        <w:t>)</w:t>
      </w:r>
      <w:r>
        <w:t xml:space="preserve"> ranging from between 236 and 2</w:t>
      </w:r>
      <w:r w:rsidR="00F039AD" w:rsidRPr="00F039AD">
        <w:t xml:space="preserve"> </w:t>
      </w:r>
      <w:r>
        <w:t xml:space="preserve">556 mg/L, Table </w:t>
      </w:r>
      <w:r w:rsidR="00C33995">
        <w:t>1</w:t>
      </w:r>
      <w:r>
        <w:t>).</w:t>
      </w:r>
    </w:p>
    <w:p w14:paraId="1E8320CD" w14:textId="0E6223CC" w:rsidR="003D00B3" w:rsidRPr="006B584D" w:rsidRDefault="006B584D" w:rsidP="006B584D">
      <w:pPr>
        <w:pStyle w:val="MDPI22heading2"/>
        <w:spacing w:before="240"/>
      </w:pPr>
      <w:r w:rsidRPr="006B584D">
        <w:t xml:space="preserve">4.2. </w:t>
      </w:r>
      <w:r w:rsidR="003D00B3" w:rsidRPr="006B584D">
        <w:t xml:space="preserve">Validation of </w:t>
      </w:r>
      <w:r w:rsidR="00F32F96" w:rsidRPr="006B584D">
        <w:t>P</w:t>
      </w:r>
      <w:r w:rsidR="003D00B3" w:rsidRPr="006B584D">
        <w:t xml:space="preserve">assive </w:t>
      </w:r>
      <w:r w:rsidR="00F32F96" w:rsidRPr="006B584D">
        <w:t>S</w:t>
      </w:r>
      <w:r w:rsidR="003D00B3" w:rsidRPr="006B584D">
        <w:t xml:space="preserve">ampling at </w:t>
      </w:r>
      <w:r w:rsidR="00F32F96" w:rsidRPr="006B584D">
        <w:t>D</w:t>
      </w:r>
      <w:r w:rsidR="003D00B3" w:rsidRPr="006B584D">
        <w:t xml:space="preserve">epth and </w:t>
      </w:r>
      <w:r w:rsidR="00F32F96" w:rsidRPr="006B584D">
        <w:t>D</w:t>
      </w:r>
      <w:r w:rsidR="003D00B3" w:rsidRPr="006B584D">
        <w:t xml:space="preserve">econvolution at </w:t>
      </w:r>
      <w:r w:rsidR="00F32F96" w:rsidRPr="006B584D">
        <w:t>F</w:t>
      </w:r>
      <w:r w:rsidR="003D00B3" w:rsidRPr="006B584D">
        <w:t>ractures</w:t>
      </w:r>
    </w:p>
    <w:p w14:paraId="278E1803" w14:textId="57B91BA9" w:rsidR="003D00B3" w:rsidRDefault="003D00B3" w:rsidP="003D00B3">
      <w:pPr>
        <w:pStyle w:val="MDPI31text"/>
      </w:pPr>
      <w:r>
        <w:t xml:space="preserve">The validation of passive sampling efficiency at depth was tested according to experiments performed at the Chateauguay wellbore. Samplers’ concentrations collected after 6 days of equilibration are compared with samples collected by low flow pumping at the same </w:t>
      </w:r>
      <w:r w:rsidRPr="006C5225">
        <w:t xml:space="preserve">depths (Table </w:t>
      </w:r>
      <w:r w:rsidR="00C33995">
        <w:t>2</w:t>
      </w:r>
      <w:r w:rsidRPr="006C5225">
        <w:t xml:space="preserve"> and Figure 9).</w:t>
      </w:r>
    </w:p>
    <w:p w14:paraId="627A31EE" w14:textId="6D294367" w:rsidR="001F784F" w:rsidRPr="00FA04F1" w:rsidRDefault="002F6804" w:rsidP="002F6804">
      <w:pPr>
        <w:pStyle w:val="MDPI41tablecaption"/>
        <w:ind w:left="425" w:right="425"/>
        <w:jc w:val="both"/>
      </w:pPr>
      <w:bookmarkStart w:id="10" w:name="_Hlk73029276"/>
      <w:r w:rsidRPr="002F6804">
        <w:rPr>
          <w:b/>
        </w:rPr>
        <w:t xml:space="preserve">Table </w:t>
      </w:r>
      <w:r w:rsidR="00C33995">
        <w:rPr>
          <w:b/>
        </w:rPr>
        <w:t>2</w:t>
      </w:r>
      <w:r w:rsidRPr="002F6804">
        <w:rPr>
          <w:b/>
        </w:rPr>
        <w:t xml:space="preserve">. </w:t>
      </w:r>
      <w:r w:rsidR="001F784F" w:rsidRPr="001F784F">
        <w:t>Concentrations measured at depths by passive sampling and by low flow pumping at the Chateauguay wellbore.</w:t>
      </w:r>
    </w:p>
    <w:tbl>
      <w:tblPr>
        <w:tblW w:w="10465" w:type="dxa"/>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1266"/>
        <w:gridCol w:w="700"/>
        <w:gridCol w:w="380"/>
        <w:gridCol w:w="685"/>
        <w:gridCol w:w="747"/>
        <w:gridCol w:w="787"/>
        <w:gridCol w:w="724"/>
        <w:gridCol w:w="640"/>
        <w:gridCol w:w="901"/>
        <w:gridCol w:w="767"/>
        <w:gridCol w:w="800"/>
        <w:gridCol w:w="1039"/>
        <w:gridCol w:w="1029"/>
      </w:tblGrid>
      <w:tr w:rsidR="002F6804" w:rsidRPr="002F6804" w14:paraId="1B49D195" w14:textId="77777777" w:rsidTr="002F6804">
        <w:tc>
          <w:tcPr>
            <w:tcW w:w="1283" w:type="dxa"/>
            <w:tcBorders>
              <w:top w:val="single" w:sz="8" w:space="0" w:color="auto"/>
              <w:bottom w:val="single" w:sz="4" w:space="0" w:color="auto"/>
            </w:tcBorders>
            <w:shd w:val="clear" w:color="auto" w:fill="auto"/>
            <w:noWrap/>
            <w:vAlign w:val="center"/>
            <w:hideMark/>
          </w:tcPr>
          <w:p w14:paraId="073EBA85" w14:textId="77777777"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Sampling mode</w:t>
            </w:r>
          </w:p>
        </w:tc>
        <w:tc>
          <w:tcPr>
            <w:tcW w:w="709" w:type="dxa"/>
            <w:tcBorders>
              <w:top w:val="single" w:sz="8" w:space="0" w:color="auto"/>
              <w:bottom w:val="single" w:sz="4" w:space="0" w:color="auto"/>
            </w:tcBorders>
            <w:shd w:val="clear" w:color="auto" w:fill="auto"/>
            <w:vAlign w:val="center"/>
            <w:hideMark/>
          </w:tcPr>
          <w:p w14:paraId="0C86293B" w14:textId="77777777"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Depth (m)</w:t>
            </w:r>
          </w:p>
        </w:tc>
        <w:tc>
          <w:tcPr>
            <w:tcW w:w="385" w:type="dxa"/>
            <w:tcBorders>
              <w:top w:val="single" w:sz="8" w:space="0" w:color="auto"/>
              <w:bottom w:val="single" w:sz="4" w:space="0" w:color="auto"/>
            </w:tcBorders>
            <w:shd w:val="clear" w:color="auto" w:fill="auto"/>
            <w:noWrap/>
            <w:vAlign w:val="center"/>
            <w:hideMark/>
          </w:tcPr>
          <w:p w14:paraId="11E876A8" w14:textId="77777777"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pH</w:t>
            </w:r>
          </w:p>
        </w:tc>
        <w:tc>
          <w:tcPr>
            <w:tcW w:w="694" w:type="dxa"/>
            <w:tcBorders>
              <w:top w:val="single" w:sz="8" w:space="0" w:color="auto"/>
              <w:bottom w:val="single" w:sz="4" w:space="0" w:color="auto"/>
            </w:tcBorders>
            <w:shd w:val="clear" w:color="auto" w:fill="auto"/>
            <w:vAlign w:val="center"/>
            <w:hideMark/>
          </w:tcPr>
          <w:p w14:paraId="1E1CC3AE" w14:textId="77777777"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EC μS/cm</w:t>
            </w:r>
          </w:p>
        </w:tc>
        <w:tc>
          <w:tcPr>
            <w:tcW w:w="757" w:type="dxa"/>
            <w:tcBorders>
              <w:top w:val="single" w:sz="8" w:space="0" w:color="auto"/>
              <w:bottom w:val="single" w:sz="4" w:space="0" w:color="auto"/>
            </w:tcBorders>
            <w:shd w:val="clear" w:color="auto" w:fill="auto"/>
            <w:noWrap/>
            <w:vAlign w:val="center"/>
            <w:hideMark/>
          </w:tcPr>
          <w:p w14:paraId="508BA9F9" w14:textId="77777777"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Ca</w:t>
            </w:r>
            <w:r w:rsidRPr="002F6804">
              <w:rPr>
                <w:rFonts w:eastAsia="Times New Roman"/>
                <w:b/>
                <w:sz w:val="18"/>
                <w:szCs w:val="14"/>
                <w:vertAlign w:val="superscript"/>
                <w:lang w:eastAsia="fr-CA"/>
              </w:rPr>
              <w:t>2+</w:t>
            </w:r>
            <w:r w:rsidRPr="002F6804">
              <w:rPr>
                <w:rFonts w:eastAsia="Times New Roman"/>
                <w:b/>
                <w:sz w:val="18"/>
                <w:szCs w:val="14"/>
                <w:lang w:eastAsia="fr-CA"/>
              </w:rPr>
              <w:t xml:space="preserve"> mg/L</w:t>
            </w:r>
          </w:p>
        </w:tc>
        <w:tc>
          <w:tcPr>
            <w:tcW w:w="798" w:type="dxa"/>
            <w:tcBorders>
              <w:top w:val="single" w:sz="8" w:space="0" w:color="auto"/>
              <w:bottom w:val="single" w:sz="4" w:space="0" w:color="auto"/>
            </w:tcBorders>
            <w:shd w:val="clear" w:color="auto" w:fill="auto"/>
            <w:noWrap/>
            <w:vAlign w:val="center"/>
            <w:hideMark/>
          </w:tcPr>
          <w:p w14:paraId="1904A567" w14:textId="77777777"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Mg</w:t>
            </w:r>
            <w:r w:rsidRPr="002F6804">
              <w:rPr>
                <w:rFonts w:eastAsia="Times New Roman"/>
                <w:b/>
                <w:sz w:val="18"/>
                <w:szCs w:val="14"/>
                <w:vertAlign w:val="superscript"/>
                <w:lang w:eastAsia="fr-CA"/>
              </w:rPr>
              <w:t>2+</w:t>
            </w:r>
            <w:r w:rsidRPr="002F6804">
              <w:rPr>
                <w:rFonts w:eastAsia="Times New Roman"/>
                <w:b/>
                <w:sz w:val="18"/>
                <w:szCs w:val="14"/>
                <w:lang w:eastAsia="fr-CA"/>
              </w:rPr>
              <w:t xml:space="preserve"> mg/L</w:t>
            </w:r>
          </w:p>
        </w:tc>
        <w:tc>
          <w:tcPr>
            <w:tcW w:w="734" w:type="dxa"/>
            <w:tcBorders>
              <w:top w:val="single" w:sz="8" w:space="0" w:color="auto"/>
              <w:bottom w:val="single" w:sz="4" w:space="0" w:color="auto"/>
            </w:tcBorders>
            <w:shd w:val="clear" w:color="auto" w:fill="auto"/>
            <w:noWrap/>
            <w:vAlign w:val="center"/>
            <w:hideMark/>
          </w:tcPr>
          <w:p w14:paraId="624A2221" w14:textId="77777777"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Na</w:t>
            </w:r>
            <w:r w:rsidRPr="002F6804">
              <w:rPr>
                <w:rFonts w:eastAsia="Times New Roman"/>
                <w:b/>
                <w:sz w:val="18"/>
                <w:szCs w:val="14"/>
                <w:vertAlign w:val="superscript"/>
                <w:lang w:eastAsia="fr-CA"/>
              </w:rPr>
              <w:t>+</w:t>
            </w:r>
            <w:r w:rsidRPr="002F6804">
              <w:rPr>
                <w:rFonts w:eastAsia="Times New Roman"/>
                <w:b/>
                <w:sz w:val="18"/>
                <w:szCs w:val="14"/>
                <w:lang w:eastAsia="fr-CA"/>
              </w:rPr>
              <w:t xml:space="preserve"> mg/L</w:t>
            </w:r>
          </w:p>
        </w:tc>
        <w:tc>
          <w:tcPr>
            <w:tcW w:w="649" w:type="dxa"/>
            <w:tcBorders>
              <w:top w:val="single" w:sz="8" w:space="0" w:color="auto"/>
              <w:bottom w:val="single" w:sz="4" w:space="0" w:color="auto"/>
            </w:tcBorders>
            <w:shd w:val="clear" w:color="auto" w:fill="auto"/>
            <w:noWrap/>
            <w:vAlign w:val="center"/>
            <w:hideMark/>
          </w:tcPr>
          <w:p w14:paraId="510C314A" w14:textId="77777777"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K</w:t>
            </w:r>
            <w:r w:rsidRPr="002F6804">
              <w:rPr>
                <w:rFonts w:eastAsia="Times New Roman"/>
                <w:b/>
                <w:sz w:val="18"/>
                <w:szCs w:val="14"/>
                <w:vertAlign w:val="superscript"/>
                <w:lang w:eastAsia="fr-CA"/>
              </w:rPr>
              <w:t>+</w:t>
            </w:r>
            <w:r w:rsidRPr="002F6804">
              <w:rPr>
                <w:rFonts w:eastAsia="Times New Roman"/>
                <w:b/>
                <w:sz w:val="18"/>
                <w:szCs w:val="14"/>
                <w:lang w:eastAsia="fr-CA"/>
              </w:rPr>
              <w:t xml:space="preserve"> mg/L</w:t>
            </w:r>
          </w:p>
        </w:tc>
        <w:tc>
          <w:tcPr>
            <w:tcW w:w="913" w:type="dxa"/>
            <w:tcBorders>
              <w:top w:val="single" w:sz="8" w:space="0" w:color="auto"/>
              <w:bottom w:val="single" w:sz="4" w:space="0" w:color="auto"/>
            </w:tcBorders>
            <w:shd w:val="clear" w:color="auto" w:fill="auto"/>
            <w:noWrap/>
            <w:vAlign w:val="center"/>
            <w:hideMark/>
          </w:tcPr>
          <w:p w14:paraId="5BCBD3E6" w14:textId="4539CD24"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HCO</w:t>
            </w:r>
            <w:r w:rsidRPr="002F6804">
              <w:rPr>
                <w:rFonts w:eastAsia="Times New Roman"/>
                <w:b/>
                <w:sz w:val="18"/>
                <w:szCs w:val="14"/>
                <w:vertAlign w:val="subscript"/>
                <w:lang w:eastAsia="fr-CA"/>
              </w:rPr>
              <w:t>3</w:t>
            </w:r>
            <w:r w:rsidR="002529A5" w:rsidRPr="002F6804">
              <w:rPr>
                <w:rFonts w:eastAsia="Times New Roman"/>
                <w:b/>
                <w:sz w:val="18"/>
                <w:szCs w:val="14"/>
                <w:vertAlign w:val="superscript"/>
                <w:lang w:eastAsia="fr-CA"/>
              </w:rPr>
              <w:t>–</w:t>
            </w:r>
            <w:r w:rsidRPr="002F6804">
              <w:rPr>
                <w:rFonts w:eastAsia="Times New Roman"/>
                <w:b/>
                <w:sz w:val="18"/>
                <w:szCs w:val="14"/>
                <w:lang w:eastAsia="fr-CA"/>
              </w:rPr>
              <w:t xml:space="preserve"> mg/L</w:t>
            </w:r>
          </w:p>
        </w:tc>
        <w:tc>
          <w:tcPr>
            <w:tcW w:w="777" w:type="dxa"/>
            <w:tcBorders>
              <w:top w:val="single" w:sz="8" w:space="0" w:color="auto"/>
              <w:bottom w:val="single" w:sz="4" w:space="0" w:color="auto"/>
            </w:tcBorders>
            <w:shd w:val="clear" w:color="auto" w:fill="auto"/>
            <w:noWrap/>
            <w:vAlign w:val="center"/>
            <w:hideMark/>
          </w:tcPr>
          <w:p w14:paraId="358D0D99" w14:textId="1F9745DB"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Cl</w:t>
            </w:r>
            <w:r w:rsidR="002529A5" w:rsidRPr="002F6804">
              <w:rPr>
                <w:rFonts w:eastAsia="Times New Roman"/>
                <w:b/>
                <w:sz w:val="18"/>
                <w:szCs w:val="14"/>
                <w:vertAlign w:val="superscript"/>
                <w:lang w:eastAsia="fr-CA"/>
              </w:rPr>
              <w:t>–</w:t>
            </w:r>
            <w:r w:rsidRPr="002F6804">
              <w:rPr>
                <w:rFonts w:eastAsia="Times New Roman"/>
                <w:b/>
                <w:sz w:val="18"/>
                <w:szCs w:val="14"/>
                <w:lang w:eastAsia="fr-CA"/>
              </w:rPr>
              <w:t xml:space="preserve">  mg/L</w:t>
            </w:r>
          </w:p>
        </w:tc>
        <w:tc>
          <w:tcPr>
            <w:tcW w:w="811" w:type="dxa"/>
            <w:tcBorders>
              <w:top w:val="single" w:sz="8" w:space="0" w:color="auto"/>
              <w:bottom w:val="single" w:sz="4" w:space="0" w:color="auto"/>
            </w:tcBorders>
            <w:shd w:val="clear" w:color="auto" w:fill="auto"/>
            <w:noWrap/>
            <w:vAlign w:val="center"/>
            <w:hideMark/>
          </w:tcPr>
          <w:p w14:paraId="7F4F87C3" w14:textId="35E0085A"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SO</w:t>
            </w:r>
            <w:r w:rsidRPr="002F6804">
              <w:rPr>
                <w:rFonts w:eastAsia="Times New Roman"/>
                <w:b/>
                <w:sz w:val="18"/>
                <w:szCs w:val="14"/>
                <w:vertAlign w:val="subscript"/>
                <w:lang w:eastAsia="fr-CA"/>
              </w:rPr>
              <w:t>4</w:t>
            </w:r>
            <w:r w:rsidRPr="002F6804">
              <w:rPr>
                <w:rFonts w:eastAsia="Times New Roman"/>
                <w:b/>
                <w:sz w:val="18"/>
                <w:szCs w:val="14"/>
                <w:vertAlign w:val="superscript"/>
                <w:lang w:eastAsia="fr-CA"/>
              </w:rPr>
              <w:t>2</w:t>
            </w:r>
            <w:r w:rsidR="002529A5" w:rsidRPr="002F6804">
              <w:rPr>
                <w:rFonts w:eastAsia="Times New Roman"/>
                <w:b/>
                <w:sz w:val="18"/>
                <w:szCs w:val="14"/>
                <w:vertAlign w:val="superscript"/>
                <w:lang w:eastAsia="fr-CA"/>
              </w:rPr>
              <w:t>–</w:t>
            </w:r>
            <w:r w:rsidRPr="002F6804">
              <w:rPr>
                <w:rFonts w:eastAsia="Times New Roman"/>
                <w:b/>
                <w:sz w:val="18"/>
                <w:szCs w:val="14"/>
                <w:lang w:eastAsia="fr-CA"/>
              </w:rPr>
              <w:t xml:space="preserve"> mg/L</w:t>
            </w:r>
          </w:p>
        </w:tc>
        <w:tc>
          <w:tcPr>
            <w:tcW w:w="1053" w:type="dxa"/>
            <w:tcBorders>
              <w:top w:val="single" w:sz="8" w:space="0" w:color="auto"/>
              <w:bottom w:val="single" w:sz="4" w:space="0" w:color="auto"/>
            </w:tcBorders>
            <w:shd w:val="clear" w:color="auto" w:fill="auto"/>
            <w:vAlign w:val="center"/>
          </w:tcPr>
          <w:p w14:paraId="2918343C" w14:textId="77777777"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bookmarkStart w:id="11" w:name="_Hlk71707517"/>
            <w:r w:rsidRPr="002F6804">
              <w:rPr>
                <w:rFonts w:eastAsia="Times New Roman"/>
                <w:b/>
                <w:sz w:val="18"/>
                <w:szCs w:val="14"/>
                <w:lang w:eastAsia="fr-CA"/>
              </w:rPr>
              <w:t>δ</w:t>
            </w:r>
            <w:r w:rsidRPr="002F6804">
              <w:rPr>
                <w:rFonts w:eastAsia="Times New Roman"/>
                <w:b/>
                <w:sz w:val="18"/>
                <w:szCs w:val="14"/>
                <w:vertAlign w:val="superscript"/>
                <w:lang w:eastAsia="fr-CA"/>
              </w:rPr>
              <w:t>18</w:t>
            </w:r>
            <w:r w:rsidRPr="002F6804">
              <w:rPr>
                <w:rFonts w:eastAsia="Times New Roman"/>
                <w:b/>
                <w:sz w:val="18"/>
                <w:szCs w:val="14"/>
                <w:lang w:eastAsia="fr-CA"/>
              </w:rPr>
              <w:t>O</w:t>
            </w:r>
            <w:bookmarkEnd w:id="11"/>
            <w:r w:rsidRPr="002F6804">
              <w:rPr>
                <w:rFonts w:eastAsia="Times New Roman"/>
                <w:b/>
                <w:sz w:val="18"/>
                <w:szCs w:val="14"/>
                <w:lang w:eastAsia="fr-CA"/>
              </w:rPr>
              <w:t xml:space="preserve"> ‰ VSMOW</w:t>
            </w:r>
          </w:p>
        </w:tc>
        <w:tc>
          <w:tcPr>
            <w:tcW w:w="1043" w:type="dxa"/>
            <w:tcBorders>
              <w:top w:val="single" w:sz="8" w:space="0" w:color="auto"/>
              <w:bottom w:val="single" w:sz="4" w:space="0" w:color="auto"/>
            </w:tcBorders>
            <w:shd w:val="clear" w:color="auto" w:fill="auto"/>
            <w:vAlign w:val="center"/>
          </w:tcPr>
          <w:p w14:paraId="2098A6F5" w14:textId="77777777" w:rsidR="001F784F" w:rsidRPr="002F6804" w:rsidRDefault="001F784F" w:rsidP="002F6804">
            <w:pPr>
              <w:autoSpaceDE w:val="0"/>
              <w:autoSpaceDN w:val="0"/>
              <w:adjustRightInd w:val="0"/>
              <w:snapToGrid w:val="0"/>
              <w:spacing w:line="240" w:lineRule="auto"/>
              <w:jc w:val="center"/>
              <w:rPr>
                <w:rFonts w:eastAsia="Times New Roman"/>
                <w:b/>
                <w:sz w:val="18"/>
                <w:szCs w:val="14"/>
                <w:lang w:eastAsia="fr-CA"/>
              </w:rPr>
            </w:pPr>
            <w:r w:rsidRPr="002F6804">
              <w:rPr>
                <w:rFonts w:eastAsia="Times New Roman"/>
                <w:b/>
                <w:sz w:val="18"/>
                <w:szCs w:val="14"/>
                <w:lang w:eastAsia="fr-CA"/>
              </w:rPr>
              <w:t>δ</w:t>
            </w:r>
            <w:r w:rsidRPr="002F6804">
              <w:rPr>
                <w:rFonts w:eastAsia="Times New Roman"/>
                <w:b/>
                <w:sz w:val="18"/>
                <w:szCs w:val="14"/>
                <w:vertAlign w:val="superscript"/>
                <w:lang w:eastAsia="fr-CA"/>
              </w:rPr>
              <w:t xml:space="preserve"> 2</w:t>
            </w:r>
            <w:r w:rsidRPr="002F6804">
              <w:rPr>
                <w:rFonts w:eastAsia="Times New Roman"/>
                <w:b/>
                <w:sz w:val="18"/>
                <w:szCs w:val="14"/>
                <w:lang w:eastAsia="fr-CA"/>
              </w:rPr>
              <w:t>H ‰ VSMOW</w:t>
            </w:r>
          </w:p>
        </w:tc>
      </w:tr>
      <w:tr w:rsidR="002F6804" w:rsidRPr="002F6804" w14:paraId="0C6FF016" w14:textId="77777777" w:rsidTr="002F6804">
        <w:tc>
          <w:tcPr>
            <w:tcW w:w="1283" w:type="dxa"/>
            <w:vMerge w:val="restart"/>
            <w:tcBorders>
              <w:top w:val="single" w:sz="4" w:space="0" w:color="auto"/>
            </w:tcBorders>
            <w:shd w:val="clear" w:color="auto" w:fill="auto"/>
            <w:vAlign w:val="center"/>
            <w:hideMark/>
          </w:tcPr>
          <w:p w14:paraId="79FA0D07"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Passive Sampler</w:t>
            </w:r>
          </w:p>
        </w:tc>
        <w:tc>
          <w:tcPr>
            <w:tcW w:w="709" w:type="dxa"/>
            <w:tcBorders>
              <w:top w:val="single" w:sz="4" w:space="0" w:color="auto"/>
            </w:tcBorders>
            <w:shd w:val="clear" w:color="auto" w:fill="auto"/>
            <w:noWrap/>
            <w:vAlign w:val="center"/>
            <w:hideMark/>
          </w:tcPr>
          <w:p w14:paraId="08D2C5D3"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25</w:t>
            </w:r>
          </w:p>
        </w:tc>
        <w:tc>
          <w:tcPr>
            <w:tcW w:w="385" w:type="dxa"/>
            <w:tcBorders>
              <w:top w:val="single" w:sz="4" w:space="0" w:color="auto"/>
            </w:tcBorders>
            <w:shd w:val="clear" w:color="auto" w:fill="auto"/>
            <w:noWrap/>
            <w:vAlign w:val="center"/>
            <w:hideMark/>
          </w:tcPr>
          <w:p w14:paraId="18FBE1EF"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7.89</w:t>
            </w:r>
          </w:p>
        </w:tc>
        <w:tc>
          <w:tcPr>
            <w:tcW w:w="694" w:type="dxa"/>
            <w:tcBorders>
              <w:top w:val="single" w:sz="4" w:space="0" w:color="auto"/>
            </w:tcBorders>
            <w:shd w:val="clear" w:color="auto" w:fill="auto"/>
            <w:noWrap/>
            <w:vAlign w:val="center"/>
            <w:hideMark/>
          </w:tcPr>
          <w:p w14:paraId="12173CBC"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507</w:t>
            </w:r>
          </w:p>
        </w:tc>
        <w:tc>
          <w:tcPr>
            <w:tcW w:w="757" w:type="dxa"/>
            <w:tcBorders>
              <w:top w:val="single" w:sz="4" w:space="0" w:color="auto"/>
            </w:tcBorders>
            <w:shd w:val="clear" w:color="auto" w:fill="auto"/>
            <w:noWrap/>
            <w:vAlign w:val="center"/>
            <w:hideMark/>
          </w:tcPr>
          <w:p w14:paraId="2081A089"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43</w:t>
            </w:r>
          </w:p>
        </w:tc>
        <w:tc>
          <w:tcPr>
            <w:tcW w:w="798" w:type="dxa"/>
            <w:tcBorders>
              <w:top w:val="single" w:sz="4" w:space="0" w:color="auto"/>
            </w:tcBorders>
            <w:shd w:val="clear" w:color="auto" w:fill="auto"/>
            <w:noWrap/>
            <w:vAlign w:val="center"/>
            <w:hideMark/>
          </w:tcPr>
          <w:p w14:paraId="27F87001"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29</w:t>
            </w:r>
          </w:p>
        </w:tc>
        <w:tc>
          <w:tcPr>
            <w:tcW w:w="734" w:type="dxa"/>
            <w:tcBorders>
              <w:top w:val="single" w:sz="4" w:space="0" w:color="auto"/>
            </w:tcBorders>
            <w:shd w:val="clear" w:color="auto" w:fill="auto"/>
            <w:noWrap/>
            <w:vAlign w:val="center"/>
            <w:hideMark/>
          </w:tcPr>
          <w:p w14:paraId="00ED8DBD"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37</w:t>
            </w:r>
          </w:p>
        </w:tc>
        <w:tc>
          <w:tcPr>
            <w:tcW w:w="649" w:type="dxa"/>
            <w:tcBorders>
              <w:top w:val="single" w:sz="4" w:space="0" w:color="auto"/>
            </w:tcBorders>
            <w:shd w:val="clear" w:color="auto" w:fill="auto"/>
            <w:noWrap/>
            <w:vAlign w:val="center"/>
            <w:hideMark/>
          </w:tcPr>
          <w:p w14:paraId="3463480E"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w:t>
            </w:r>
          </w:p>
        </w:tc>
        <w:tc>
          <w:tcPr>
            <w:tcW w:w="913" w:type="dxa"/>
            <w:tcBorders>
              <w:top w:val="single" w:sz="4" w:space="0" w:color="auto"/>
            </w:tcBorders>
            <w:shd w:val="clear" w:color="auto" w:fill="auto"/>
            <w:noWrap/>
            <w:vAlign w:val="center"/>
            <w:hideMark/>
          </w:tcPr>
          <w:p w14:paraId="5FD003FF"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339</w:t>
            </w:r>
          </w:p>
        </w:tc>
        <w:tc>
          <w:tcPr>
            <w:tcW w:w="777" w:type="dxa"/>
            <w:tcBorders>
              <w:top w:val="single" w:sz="4" w:space="0" w:color="auto"/>
            </w:tcBorders>
            <w:shd w:val="clear" w:color="auto" w:fill="auto"/>
            <w:noWrap/>
            <w:vAlign w:val="center"/>
            <w:hideMark/>
          </w:tcPr>
          <w:p w14:paraId="4A363AD8"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8.7</w:t>
            </w:r>
          </w:p>
        </w:tc>
        <w:tc>
          <w:tcPr>
            <w:tcW w:w="811" w:type="dxa"/>
            <w:tcBorders>
              <w:top w:val="single" w:sz="4" w:space="0" w:color="auto"/>
            </w:tcBorders>
            <w:shd w:val="clear" w:color="auto" w:fill="auto"/>
            <w:noWrap/>
            <w:vAlign w:val="center"/>
            <w:hideMark/>
          </w:tcPr>
          <w:p w14:paraId="1D7C5387"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6.4</w:t>
            </w:r>
          </w:p>
        </w:tc>
        <w:tc>
          <w:tcPr>
            <w:tcW w:w="1053" w:type="dxa"/>
            <w:tcBorders>
              <w:top w:val="single" w:sz="4" w:space="0" w:color="auto"/>
            </w:tcBorders>
            <w:shd w:val="clear" w:color="auto" w:fill="auto"/>
            <w:vAlign w:val="center"/>
          </w:tcPr>
          <w:p w14:paraId="459D1A77" w14:textId="06CC24E0"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10.71</w:t>
            </w:r>
          </w:p>
        </w:tc>
        <w:tc>
          <w:tcPr>
            <w:tcW w:w="1043" w:type="dxa"/>
            <w:tcBorders>
              <w:top w:val="single" w:sz="4" w:space="0" w:color="auto"/>
            </w:tcBorders>
            <w:shd w:val="clear" w:color="auto" w:fill="auto"/>
            <w:vAlign w:val="center"/>
          </w:tcPr>
          <w:p w14:paraId="370D1874" w14:textId="44D053C2"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73.89</w:t>
            </w:r>
          </w:p>
        </w:tc>
      </w:tr>
      <w:tr w:rsidR="002F6804" w:rsidRPr="002F6804" w14:paraId="479AC10B" w14:textId="77777777" w:rsidTr="002F6804">
        <w:tc>
          <w:tcPr>
            <w:tcW w:w="1283" w:type="dxa"/>
            <w:vMerge/>
            <w:shd w:val="clear" w:color="auto" w:fill="auto"/>
            <w:vAlign w:val="center"/>
            <w:hideMark/>
          </w:tcPr>
          <w:p w14:paraId="3D5A3C95"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p>
        </w:tc>
        <w:tc>
          <w:tcPr>
            <w:tcW w:w="709" w:type="dxa"/>
            <w:shd w:val="clear" w:color="auto" w:fill="auto"/>
            <w:noWrap/>
            <w:vAlign w:val="center"/>
            <w:hideMark/>
          </w:tcPr>
          <w:p w14:paraId="49D2E9A2"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37</w:t>
            </w:r>
          </w:p>
        </w:tc>
        <w:tc>
          <w:tcPr>
            <w:tcW w:w="385" w:type="dxa"/>
            <w:shd w:val="clear" w:color="auto" w:fill="auto"/>
            <w:noWrap/>
            <w:vAlign w:val="center"/>
            <w:hideMark/>
          </w:tcPr>
          <w:p w14:paraId="3B59CCF6"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7.7</w:t>
            </w:r>
          </w:p>
        </w:tc>
        <w:tc>
          <w:tcPr>
            <w:tcW w:w="694" w:type="dxa"/>
            <w:shd w:val="clear" w:color="auto" w:fill="auto"/>
            <w:noWrap/>
            <w:vAlign w:val="center"/>
            <w:hideMark/>
          </w:tcPr>
          <w:p w14:paraId="7F18BC6D"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667</w:t>
            </w:r>
          </w:p>
        </w:tc>
        <w:tc>
          <w:tcPr>
            <w:tcW w:w="757" w:type="dxa"/>
            <w:shd w:val="clear" w:color="auto" w:fill="auto"/>
            <w:noWrap/>
            <w:vAlign w:val="center"/>
            <w:hideMark/>
          </w:tcPr>
          <w:p w14:paraId="7301913D"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51</w:t>
            </w:r>
          </w:p>
        </w:tc>
        <w:tc>
          <w:tcPr>
            <w:tcW w:w="798" w:type="dxa"/>
            <w:shd w:val="clear" w:color="auto" w:fill="auto"/>
            <w:noWrap/>
            <w:vAlign w:val="center"/>
            <w:hideMark/>
          </w:tcPr>
          <w:p w14:paraId="1E2DC3E1"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30</w:t>
            </w:r>
          </w:p>
        </w:tc>
        <w:tc>
          <w:tcPr>
            <w:tcW w:w="734" w:type="dxa"/>
            <w:shd w:val="clear" w:color="auto" w:fill="auto"/>
            <w:noWrap/>
            <w:vAlign w:val="center"/>
            <w:hideMark/>
          </w:tcPr>
          <w:p w14:paraId="5CC045CF"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52</w:t>
            </w:r>
          </w:p>
        </w:tc>
        <w:tc>
          <w:tcPr>
            <w:tcW w:w="649" w:type="dxa"/>
            <w:shd w:val="clear" w:color="auto" w:fill="auto"/>
            <w:noWrap/>
            <w:vAlign w:val="center"/>
            <w:hideMark/>
          </w:tcPr>
          <w:p w14:paraId="57430372"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5.1</w:t>
            </w:r>
          </w:p>
        </w:tc>
        <w:tc>
          <w:tcPr>
            <w:tcW w:w="913" w:type="dxa"/>
            <w:shd w:val="clear" w:color="auto" w:fill="auto"/>
            <w:noWrap/>
            <w:vAlign w:val="center"/>
            <w:hideMark/>
          </w:tcPr>
          <w:p w14:paraId="40E7FFCF"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305</w:t>
            </w:r>
          </w:p>
        </w:tc>
        <w:tc>
          <w:tcPr>
            <w:tcW w:w="777" w:type="dxa"/>
            <w:shd w:val="clear" w:color="auto" w:fill="auto"/>
            <w:noWrap/>
            <w:vAlign w:val="center"/>
            <w:hideMark/>
          </w:tcPr>
          <w:p w14:paraId="1F4D8869"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43</w:t>
            </w:r>
          </w:p>
        </w:tc>
        <w:tc>
          <w:tcPr>
            <w:tcW w:w="811" w:type="dxa"/>
            <w:shd w:val="clear" w:color="auto" w:fill="auto"/>
            <w:noWrap/>
            <w:vAlign w:val="center"/>
            <w:hideMark/>
          </w:tcPr>
          <w:p w14:paraId="7C76E04F"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53</w:t>
            </w:r>
          </w:p>
        </w:tc>
        <w:tc>
          <w:tcPr>
            <w:tcW w:w="1053" w:type="dxa"/>
            <w:shd w:val="clear" w:color="auto" w:fill="auto"/>
            <w:vAlign w:val="center"/>
          </w:tcPr>
          <w:p w14:paraId="7788316E" w14:textId="77027BC3"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10.85</w:t>
            </w:r>
          </w:p>
        </w:tc>
        <w:tc>
          <w:tcPr>
            <w:tcW w:w="1043" w:type="dxa"/>
            <w:shd w:val="clear" w:color="auto" w:fill="auto"/>
            <w:vAlign w:val="center"/>
          </w:tcPr>
          <w:p w14:paraId="3EDD372E" w14:textId="496036F3"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74.62</w:t>
            </w:r>
          </w:p>
        </w:tc>
      </w:tr>
      <w:tr w:rsidR="002F6804" w:rsidRPr="002F6804" w14:paraId="13AC160A" w14:textId="77777777" w:rsidTr="002F6804">
        <w:tc>
          <w:tcPr>
            <w:tcW w:w="1283" w:type="dxa"/>
            <w:vMerge/>
            <w:shd w:val="clear" w:color="auto" w:fill="auto"/>
            <w:vAlign w:val="center"/>
            <w:hideMark/>
          </w:tcPr>
          <w:p w14:paraId="16EC9AF7"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p>
        </w:tc>
        <w:tc>
          <w:tcPr>
            <w:tcW w:w="709" w:type="dxa"/>
            <w:shd w:val="clear" w:color="auto" w:fill="auto"/>
            <w:noWrap/>
            <w:vAlign w:val="center"/>
            <w:hideMark/>
          </w:tcPr>
          <w:p w14:paraId="0E01B2A7"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41</w:t>
            </w:r>
          </w:p>
        </w:tc>
        <w:tc>
          <w:tcPr>
            <w:tcW w:w="385" w:type="dxa"/>
            <w:shd w:val="clear" w:color="auto" w:fill="auto"/>
            <w:noWrap/>
            <w:vAlign w:val="center"/>
            <w:hideMark/>
          </w:tcPr>
          <w:p w14:paraId="722F57A1"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7.69</w:t>
            </w:r>
          </w:p>
        </w:tc>
        <w:tc>
          <w:tcPr>
            <w:tcW w:w="694" w:type="dxa"/>
            <w:shd w:val="clear" w:color="auto" w:fill="auto"/>
            <w:noWrap/>
            <w:vAlign w:val="center"/>
            <w:hideMark/>
          </w:tcPr>
          <w:p w14:paraId="1D41A6B7"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679</w:t>
            </w:r>
          </w:p>
        </w:tc>
        <w:tc>
          <w:tcPr>
            <w:tcW w:w="757" w:type="dxa"/>
            <w:shd w:val="clear" w:color="auto" w:fill="auto"/>
            <w:noWrap/>
            <w:vAlign w:val="center"/>
            <w:hideMark/>
          </w:tcPr>
          <w:p w14:paraId="7AA56B41"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53</w:t>
            </w:r>
          </w:p>
        </w:tc>
        <w:tc>
          <w:tcPr>
            <w:tcW w:w="798" w:type="dxa"/>
            <w:shd w:val="clear" w:color="auto" w:fill="auto"/>
            <w:noWrap/>
            <w:vAlign w:val="center"/>
            <w:hideMark/>
          </w:tcPr>
          <w:p w14:paraId="3710A655"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30</w:t>
            </w:r>
          </w:p>
        </w:tc>
        <w:tc>
          <w:tcPr>
            <w:tcW w:w="734" w:type="dxa"/>
            <w:shd w:val="clear" w:color="auto" w:fill="auto"/>
            <w:noWrap/>
            <w:vAlign w:val="center"/>
            <w:hideMark/>
          </w:tcPr>
          <w:p w14:paraId="14C9DF53"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52</w:t>
            </w:r>
          </w:p>
        </w:tc>
        <w:tc>
          <w:tcPr>
            <w:tcW w:w="649" w:type="dxa"/>
            <w:shd w:val="clear" w:color="auto" w:fill="auto"/>
            <w:noWrap/>
            <w:vAlign w:val="center"/>
            <w:hideMark/>
          </w:tcPr>
          <w:p w14:paraId="1F8941D4"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w:t>
            </w:r>
          </w:p>
        </w:tc>
        <w:tc>
          <w:tcPr>
            <w:tcW w:w="913" w:type="dxa"/>
            <w:shd w:val="clear" w:color="auto" w:fill="auto"/>
            <w:noWrap/>
            <w:vAlign w:val="center"/>
            <w:hideMark/>
          </w:tcPr>
          <w:p w14:paraId="6FAF3136"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308</w:t>
            </w:r>
          </w:p>
        </w:tc>
        <w:tc>
          <w:tcPr>
            <w:tcW w:w="777" w:type="dxa"/>
            <w:shd w:val="clear" w:color="auto" w:fill="auto"/>
            <w:noWrap/>
            <w:vAlign w:val="center"/>
            <w:hideMark/>
          </w:tcPr>
          <w:p w14:paraId="2EFFE499"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46</w:t>
            </w:r>
          </w:p>
        </w:tc>
        <w:tc>
          <w:tcPr>
            <w:tcW w:w="811" w:type="dxa"/>
            <w:shd w:val="clear" w:color="auto" w:fill="auto"/>
            <w:noWrap/>
            <w:vAlign w:val="center"/>
            <w:hideMark/>
          </w:tcPr>
          <w:p w14:paraId="29F17E5A"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59</w:t>
            </w:r>
          </w:p>
        </w:tc>
        <w:tc>
          <w:tcPr>
            <w:tcW w:w="1053" w:type="dxa"/>
            <w:shd w:val="clear" w:color="auto" w:fill="auto"/>
            <w:vAlign w:val="center"/>
          </w:tcPr>
          <w:p w14:paraId="30890216" w14:textId="39B1137F"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10.88</w:t>
            </w:r>
          </w:p>
        </w:tc>
        <w:tc>
          <w:tcPr>
            <w:tcW w:w="1043" w:type="dxa"/>
            <w:shd w:val="clear" w:color="auto" w:fill="auto"/>
            <w:vAlign w:val="center"/>
          </w:tcPr>
          <w:p w14:paraId="1321D319" w14:textId="61C97832"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74.83</w:t>
            </w:r>
          </w:p>
        </w:tc>
      </w:tr>
      <w:tr w:rsidR="002F6804" w:rsidRPr="002F6804" w14:paraId="4BC9E604" w14:textId="77777777" w:rsidTr="002F6804">
        <w:tc>
          <w:tcPr>
            <w:tcW w:w="1283" w:type="dxa"/>
            <w:vMerge w:val="restart"/>
            <w:shd w:val="clear" w:color="auto" w:fill="auto"/>
            <w:vAlign w:val="center"/>
            <w:hideMark/>
          </w:tcPr>
          <w:p w14:paraId="4BD63AB3"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Low flow pumping</w:t>
            </w:r>
          </w:p>
        </w:tc>
        <w:tc>
          <w:tcPr>
            <w:tcW w:w="709" w:type="dxa"/>
            <w:shd w:val="clear" w:color="auto" w:fill="auto"/>
            <w:noWrap/>
            <w:vAlign w:val="center"/>
            <w:hideMark/>
          </w:tcPr>
          <w:p w14:paraId="7496C04A"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25</w:t>
            </w:r>
          </w:p>
        </w:tc>
        <w:tc>
          <w:tcPr>
            <w:tcW w:w="385" w:type="dxa"/>
            <w:shd w:val="clear" w:color="auto" w:fill="auto"/>
            <w:noWrap/>
            <w:vAlign w:val="center"/>
            <w:hideMark/>
          </w:tcPr>
          <w:p w14:paraId="565BB9DD"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7.91</w:t>
            </w:r>
          </w:p>
        </w:tc>
        <w:tc>
          <w:tcPr>
            <w:tcW w:w="694" w:type="dxa"/>
            <w:shd w:val="clear" w:color="auto" w:fill="auto"/>
            <w:noWrap/>
            <w:vAlign w:val="center"/>
            <w:hideMark/>
          </w:tcPr>
          <w:p w14:paraId="17F62B2E"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534</w:t>
            </w:r>
          </w:p>
        </w:tc>
        <w:tc>
          <w:tcPr>
            <w:tcW w:w="757" w:type="dxa"/>
            <w:shd w:val="clear" w:color="auto" w:fill="auto"/>
            <w:noWrap/>
            <w:vAlign w:val="center"/>
            <w:hideMark/>
          </w:tcPr>
          <w:p w14:paraId="59E339A8"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43</w:t>
            </w:r>
          </w:p>
        </w:tc>
        <w:tc>
          <w:tcPr>
            <w:tcW w:w="798" w:type="dxa"/>
            <w:shd w:val="clear" w:color="auto" w:fill="auto"/>
            <w:noWrap/>
            <w:vAlign w:val="center"/>
            <w:hideMark/>
          </w:tcPr>
          <w:p w14:paraId="7D27D9D7"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28</w:t>
            </w:r>
          </w:p>
        </w:tc>
        <w:tc>
          <w:tcPr>
            <w:tcW w:w="734" w:type="dxa"/>
            <w:shd w:val="clear" w:color="auto" w:fill="auto"/>
            <w:noWrap/>
            <w:vAlign w:val="center"/>
            <w:hideMark/>
          </w:tcPr>
          <w:p w14:paraId="7CDCF7F3"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36</w:t>
            </w:r>
          </w:p>
        </w:tc>
        <w:tc>
          <w:tcPr>
            <w:tcW w:w="649" w:type="dxa"/>
            <w:shd w:val="clear" w:color="auto" w:fill="auto"/>
            <w:noWrap/>
            <w:vAlign w:val="center"/>
            <w:hideMark/>
          </w:tcPr>
          <w:p w14:paraId="44212661"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4.9</w:t>
            </w:r>
          </w:p>
        </w:tc>
        <w:tc>
          <w:tcPr>
            <w:tcW w:w="913" w:type="dxa"/>
            <w:shd w:val="clear" w:color="auto" w:fill="auto"/>
            <w:noWrap/>
            <w:vAlign w:val="center"/>
            <w:hideMark/>
          </w:tcPr>
          <w:p w14:paraId="46CA2FE1"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344</w:t>
            </w:r>
          </w:p>
        </w:tc>
        <w:tc>
          <w:tcPr>
            <w:tcW w:w="777" w:type="dxa"/>
            <w:shd w:val="clear" w:color="auto" w:fill="auto"/>
            <w:noWrap/>
            <w:vAlign w:val="center"/>
            <w:hideMark/>
          </w:tcPr>
          <w:p w14:paraId="559BA001"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9.7</w:t>
            </w:r>
          </w:p>
        </w:tc>
        <w:tc>
          <w:tcPr>
            <w:tcW w:w="811" w:type="dxa"/>
            <w:shd w:val="clear" w:color="auto" w:fill="auto"/>
            <w:noWrap/>
            <w:vAlign w:val="center"/>
            <w:hideMark/>
          </w:tcPr>
          <w:p w14:paraId="4E563B53"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7.1</w:t>
            </w:r>
          </w:p>
        </w:tc>
        <w:tc>
          <w:tcPr>
            <w:tcW w:w="1053" w:type="dxa"/>
            <w:shd w:val="clear" w:color="auto" w:fill="auto"/>
            <w:vAlign w:val="center"/>
          </w:tcPr>
          <w:p w14:paraId="5D2ECDBF" w14:textId="03174A3D"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10.75</w:t>
            </w:r>
          </w:p>
        </w:tc>
        <w:tc>
          <w:tcPr>
            <w:tcW w:w="1043" w:type="dxa"/>
            <w:shd w:val="clear" w:color="auto" w:fill="auto"/>
            <w:vAlign w:val="center"/>
          </w:tcPr>
          <w:p w14:paraId="6797F61F" w14:textId="03D8602E"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73.95</w:t>
            </w:r>
          </w:p>
        </w:tc>
      </w:tr>
      <w:tr w:rsidR="002F6804" w:rsidRPr="002F6804" w14:paraId="376801B1" w14:textId="77777777" w:rsidTr="002F6804">
        <w:tc>
          <w:tcPr>
            <w:tcW w:w="1283" w:type="dxa"/>
            <w:vMerge/>
            <w:shd w:val="clear" w:color="auto" w:fill="auto"/>
            <w:vAlign w:val="center"/>
            <w:hideMark/>
          </w:tcPr>
          <w:p w14:paraId="1B8A10BB"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p>
        </w:tc>
        <w:tc>
          <w:tcPr>
            <w:tcW w:w="709" w:type="dxa"/>
            <w:shd w:val="clear" w:color="auto" w:fill="auto"/>
            <w:noWrap/>
            <w:vAlign w:val="center"/>
            <w:hideMark/>
          </w:tcPr>
          <w:p w14:paraId="1AB09148"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37</w:t>
            </w:r>
          </w:p>
        </w:tc>
        <w:tc>
          <w:tcPr>
            <w:tcW w:w="385" w:type="dxa"/>
            <w:shd w:val="clear" w:color="auto" w:fill="auto"/>
            <w:noWrap/>
            <w:vAlign w:val="center"/>
            <w:hideMark/>
          </w:tcPr>
          <w:p w14:paraId="02C2253E"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7.81</w:t>
            </w:r>
          </w:p>
        </w:tc>
        <w:tc>
          <w:tcPr>
            <w:tcW w:w="694" w:type="dxa"/>
            <w:shd w:val="clear" w:color="auto" w:fill="auto"/>
            <w:noWrap/>
            <w:vAlign w:val="center"/>
            <w:hideMark/>
          </w:tcPr>
          <w:p w14:paraId="6D1B63D5"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621</w:t>
            </w:r>
          </w:p>
        </w:tc>
        <w:tc>
          <w:tcPr>
            <w:tcW w:w="757" w:type="dxa"/>
            <w:shd w:val="clear" w:color="auto" w:fill="auto"/>
            <w:noWrap/>
            <w:vAlign w:val="center"/>
            <w:hideMark/>
          </w:tcPr>
          <w:p w14:paraId="4ED1D7F1"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47</w:t>
            </w:r>
          </w:p>
        </w:tc>
        <w:tc>
          <w:tcPr>
            <w:tcW w:w="798" w:type="dxa"/>
            <w:shd w:val="clear" w:color="auto" w:fill="auto"/>
            <w:noWrap/>
            <w:vAlign w:val="center"/>
            <w:hideMark/>
          </w:tcPr>
          <w:p w14:paraId="6356292B"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27</w:t>
            </w:r>
          </w:p>
        </w:tc>
        <w:tc>
          <w:tcPr>
            <w:tcW w:w="734" w:type="dxa"/>
            <w:shd w:val="clear" w:color="auto" w:fill="auto"/>
            <w:noWrap/>
            <w:vAlign w:val="center"/>
            <w:hideMark/>
          </w:tcPr>
          <w:p w14:paraId="7B7630AE"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48</w:t>
            </w:r>
          </w:p>
        </w:tc>
        <w:tc>
          <w:tcPr>
            <w:tcW w:w="649" w:type="dxa"/>
            <w:shd w:val="clear" w:color="auto" w:fill="auto"/>
            <w:noWrap/>
            <w:vAlign w:val="center"/>
            <w:hideMark/>
          </w:tcPr>
          <w:p w14:paraId="00369028"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4.9</w:t>
            </w:r>
          </w:p>
        </w:tc>
        <w:tc>
          <w:tcPr>
            <w:tcW w:w="913" w:type="dxa"/>
            <w:shd w:val="clear" w:color="auto" w:fill="auto"/>
            <w:noWrap/>
            <w:vAlign w:val="center"/>
            <w:hideMark/>
          </w:tcPr>
          <w:p w14:paraId="4844F545"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300</w:t>
            </w:r>
          </w:p>
        </w:tc>
        <w:tc>
          <w:tcPr>
            <w:tcW w:w="777" w:type="dxa"/>
            <w:shd w:val="clear" w:color="auto" w:fill="auto"/>
            <w:noWrap/>
            <w:vAlign w:val="center"/>
            <w:hideMark/>
          </w:tcPr>
          <w:p w14:paraId="18822E63"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38</w:t>
            </w:r>
          </w:p>
        </w:tc>
        <w:tc>
          <w:tcPr>
            <w:tcW w:w="811" w:type="dxa"/>
            <w:shd w:val="clear" w:color="auto" w:fill="auto"/>
            <w:noWrap/>
            <w:vAlign w:val="center"/>
            <w:hideMark/>
          </w:tcPr>
          <w:p w14:paraId="553A576B"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39</w:t>
            </w:r>
          </w:p>
        </w:tc>
        <w:tc>
          <w:tcPr>
            <w:tcW w:w="1053" w:type="dxa"/>
            <w:shd w:val="clear" w:color="auto" w:fill="auto"/>
            <w:vAlign w:val="center"/>
          </w:tcPr>
          <w:p w14:paraId="3A387A57" w14:textId="3C54E8D2"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10.90</w:t>
            </w:r>
          </w:p>
        </w:tc>
        <w:tc>
          <w:tcPr>
            <w:tcW w:w="1043" w:type="dxa"/>
            <w:shd w:val="clear" w:color="auto" w:fill="auto"/>
            <w:vAlign w:val="center"/>
          </w:tcPr>
          <w:p w14:paraId="23BA269C" w14:textId="30B1DF0C"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75.07</w:t>
            </w:r>
          </w:p>
        </w:tc>
      </w:tr>
      <w:tr w:rsidR="002F6804" w:rsidRPr="002F6804" w14:paraId="0FE6EFF0" w14:textId="77777777" w:rsidTr="002F6804">
        <w:tc>
          <w:tcPr>
            <w:tcW w:w="1283" w:type="dxa"/>
            <w:vMerge/>
            <w:shd w:val="clear" w:color="auto" w:fill="auto"/>
            <w:vAlign w:val="center"/>
            <w:hideMark/>
          </w:tcPr>
          <w:p w14:paraId="2C15C708"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p>
        </w:tc>
        <w:tc>
          <w:tcPr>
            <w:tcW w:w="709" w:type="dxa"/>
            <w:shd w:val="clear" w:color="auto" w:fill="auto"/>
            <w:noWrap/>
            <w:vAlign w:val="center"/>
            <w:hideMark/>
          </w:tcPr>
          <w:p w14:paraId="5A814EAD"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41</w:t>
            </w:r>
          </w:p>
        </w:tc>
        <w:tc>
          <w:tcPr>
            <w:tcW w:w="385" w:type="dxa"/>
            <w:shd w:val="clear" w:color="auto" w:fill="auto"/>
            <w:noWrap/>
            <w:vAlign w:val="center"/>
            <w:hideMark/>
          </w:tcPr>
          <w:p w14:paraId="2DB43BB5"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7.67</w:t>
            </w:r>
          </w:p>
        </w:tc>
        <w:tc>
          <w:tcPr>
            <w:tcW w:w="694" w:type="dxa"/>
            <w:shd w:val="clear" w:color="auto" w:fill="auto"/>
            <w:noWrap/>
            <w:vAlign w:val="center"/>
            <w:hideMark/>
          </w:tcPr>
          <w:p w14:paraId="76636811"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680</w:t>
            </w:r>
          </w:p>
        </w:tc>
        <w:tc>
          <w:tcPr>
            <w:tcW w:w="757" w:type="dxa"/>
            <w:shd w:val="clear" w:color="auto" w:fill="auto"/>
            <w:noWrap/>
            <w:vAlign w:val="center"/>
            <w:hideMark/>
          </w:tcPr>
          <w:p w14:paraId="5E9C41CB"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53</w:t>
            </w:r>
          </w:p>
        </w:tc>
        <w:tc>
          <w:tcPr>
            <w:tcW w:w="798" w:type="dxa"/>
            <w:shd w:val="clear" w:color="auto" w:fill="auto"/>
            <w:noWrap/>
            <w:vAlign w:val="center"/>
            <w:hideMark/>
          </w:tcPr>
          <w:p w14:paraId="2B94FF0F"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31</w:t>
            </w:r>
          </w:p>
        </w:tc>
        <w:tc>
          <w:tcPr>
            <w:tcW w:w="734" w:type="dxa"/>
            <w:shd w:val="clear" w:color="auto" w:fill="auto"/>
            <w:noWrap/>
            <w:vAlign w:val="center"/>
            <w:hideMark/>
          </w:tcPr>
          <w:p w14:paraId="0E09B506"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54</w:t>
            </w:r>
          </w:p>
        </w:tc>
        <w:tc>
          <w:tcPr>
            <w:tcW w:w="649" w:type="dxa"/>
            <w:shd w:val="clear" w:color="auto" w:fill="auto"/>
            <w:noWrap/>
            <w:vAlign w:val="center"/>
            <w:hideMark/>
          </w:tcPr>
          <w:p w14:paraId="2572611A"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5.3</w:t>
            </w:r>
          </w:p>
        </w:tc>
        <w:tc>
          <w:tcPr>
            <w:tcW w:w="913" w:type="dxa"/>
            <w:shd w:val="clear" w:color="auto" w:fill="auto"/>
            <w:noWrap/>
            <w:vAlign w:val="center"/>
            <w:hideMark/>
          </w:tcPr>
          <w:p w14:paraId="3003E595"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307</w:t>
            </w:r>
          </w:p>
        </w:tc>
        <w:tc>
          <w:tcPr>
            <w:tcW w:w="777" w:type="dxa"/>
            <w:shd w:val="clear" w:color="auto" w:fill="auto"/>
            <w:noWrap/>
            <w:vAlign w:val="center"/>
            <w:hideMark/>
          </w:tcPr>
          <w:p w14:paraId="208B5561"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46</w:t>
            </w:r>
          </w:p>
        </w:tc>
        <w:tc>
          <w:tcPr>
            <w:tcW w:w="811" w:type="dxa"/>
            <w:shd w:val="clear" w:color="auto" w:fill="auto"/>
            <w:noWrap/>
            <w:vAlign w:val="center"/>
            <w:hideMark/>
          </w:tcPr>
          <w:p w14:paraId="1C573252"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58</w:t>
            </w:r>
          </w:p>
        </w:tc>
        <w:tc>
          <w:tcPr>
            <w:tcW w:w="1053" w:type="dxa"/>
            <w:shd w:val="clear" w:color="auto" w:fill="auto"/>
            <w:vAlign w:val="center"/>
          </w:tcPr>
          <w:p w14:paraId="58324396" w14:textId="06ACC55D"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10.91</w:t>
            </w:r>
          </w:p>
        </w:tc>
        <w:tc>
          <w:tcPr>
            <w:tcW w:w="1043" w:type="dxa"/>
            <w:shd w:val="clear" w:color="auto" w:fill="auto"/>
            <w:vAlign w:val="center"/>
          </w:tcPr>
          <w:p w14:paraId="1B57BC7E" w14:textId="2E193F7F" w:rsidR="001F784F" w:rsidRPr="002F6804" w:rsidRDefault="002529A5"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w:t>
            </w:r>
            <w:r w:rsidR="001F784F" w:rsidRPr="002F6804">
              <w:rPr>
                <w:rFonts w:eastAsia="Times New Roman"/>
                <w:sz w:val="18"/>
                <w:szCs w:val="14"/>
                <w:lang w:eastAsia="fr-CA"/>
              </w:rPr>
              <w:t>74.89</w:t>
            </w:r>
          </w:p>
        </w:tc>
      </w:tr>
      <w:tr w:rsidR="002F6804" w:rsidRPr="002F6804" w14:paraId="5B75DD32" w14:textId="77777777" w:rsidTr="002F6804">
        <w:tc>
          <w:tcPr>
            <w:tcW w:w="1992" w:type="dxa"/>
            <w:gridSpan w:val="2"/>
            <w:shd w:val="clear" w:color="auto" w:fill="auto"/>
            <w:vAlign w:val="center"/>
          </w:tcPr>
          <w:p w14:paraId="298F8C93"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Detection threshold/ ±error %</w:t>
            </w:r>
          </w:p>
        </w:tc>
        <w:tc>
          <w:tcPr>
            <w:tcW w:w="385" w:type="dxa"/>
            <w:shd w:val="clear" w:color="auto" w:fill="auto"/>
            <w:noWrap/>
            <w:vAlign w:val="center"/>
          </w:tcPr>
          <w:p w14:paraId="0310BAB3"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0.1</w:t>
            </w:r>
          </w:p>
        </w:tc>
        <w:tc>
          <w:tcPr>
            <w:tcW w:w="694" w:type="dxa"/>
            <w:shd w:val="clear" w:color="auto" w:fill="auto"/>
            <w:noWrap/>
            <w:vAlign w:val="center"/>
          </w:tcPr>
          <w:p w14:paraId="33D70998"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5</w:t>
            </w:r>
          </w:p>
        </w:tc>
        <w:tc>
          <w:tcPr>
            <w:tcW w:w="757" w:type="dxa"/>
            <w:shd w:val="clear" w:color="auto" w:fill="auto"/>
            <w:noWrap/>
            <w:vAlign w:val="center"/>
          </w:tcPr>
          <w:p w14:paraId="5B97D846"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0.3</w:t>
            </w:r>
          </w:p>
        </w:tc>
        <w:tc>
          <w:tcPr>
            <w:tcW w:w="798" w:type="dxa"/>
            <w:shd w:val="clear" w:color="auto" w:fill="auto"/>
            <w:noWrap/>
            <w:vAlign w:val="center"/>
          </w:tcPr>
          <w:p w14:paraId="6B50CDEB"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0.1</w:t>
            </w:r>
          </w:p>
        </w:tc>
        <w:tc>
          <w:tcPr>
            <w:tcW w:w="734" w:type="dxa"/>
            <w:shd w:val="clear" w:color="auto" w:fill="auto"/>
            <w:noWrap/>
            <w:vAlign w:val="center"/>
          </w:tcPr>
          <w:p w14:paraId="15F89E12"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0.1</w:t>
            </w:r>
          </w:p>
        </w:tc>
        <w:tc>
          <w:tcPr>
            <w:tcW w:w="649" w:type="dxa"/>
            <w:shd w:val="clear" w:color="auto" w:fill="auto"/>
            <w:noWrap/>
            <w:vAlign w:val="center"/>
          </w:tcPr>
          <w:p w14:paraId="7DD4C904"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0.1</w:t>
            </w:r>
          </w:p>
        </w:tc>
        <w:tc>
          <w:tcPr>
            <w:tcW w:w="913" w:type="dxa"/>
            <w:shd w:val="clear" w:color="auto" w:fill="auto"/>
            <w:noWrap/>
            <w:vAlign w:val="center"/>
          </w:tcPr>
          <w:p w14:paraId="67308C4C"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1</w:t>
            </w:r>
          </w:p>
        </w:tc>
        <w:tc>
          <w:tcPr>
            <w:tcW w:w="777" w:type="dxa"/>
            <w:shd w:val="clear" w:color="auto" w:fill="auto"/>
            <w:noWrap/>
            <w:vAlign w:val="center"/>
          </w:tcPr>
          <w:p w14:paraId="4C83248A"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0.05</w:t>
            </w:r>
          </w:p>
        </w:tc>
        <w:tc>
          <w:tcPr>
            <w:tcW w:w="811" w:type="dxa"/>
            <w:shd w:val="clear" w:color="auto" w:fill="auto"/>
            <w:noWrap/>
            <w:vAlign w:val="center"/>
          </w:tcPr>
          <w:p w14:paraId="5E1D8F4F"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0.5</w:t>
            </w:r>
          </w:p>
        </w:tc>
        <w:tc>
          <w:tcPr>
            <w:tcW w:w="1053" w:type="dxa"/>
            <w:shd w:val="clear" w:color="auto" w:fill="auto"/>
            <w:vAlign w:val="center"/>
          </w:tcPr>
          <w:p w14:paraId="2F0FA6FC"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±0.05</w:t>
            </w:r>
            <w:r w:rsidRPr="002F6804">
              <w:rPr>
                <w:rFonts w:eastAsia="Times New Roman"/>
                <w:sz w:val="18"/>
                <w:szCs w:val="14"/>
                <w:lang w:val="en-CA" w:eastAsia="fr-CA"/>
              </w:rPr>
              <w:t>‰</w:t>
            </w:r>
          </w:p>
        </w:tc>
        <w:tc>
          <w:tcPr>
            <w:tcW w:w="1043" w:type="dxa"/>
            <w:shd w:val="clear" w:color="auto" w:fill="auto"/>
            <w:vAlign w:val="center"/>
          </w:tcPr>
          <w:p w14:paraId="0685F0DC" w14:textId="77777777" w:rsidR="001F784F" w:rsidRPr="002F6804" w:rsidRDefault="001F784F" w:rsidP="002F6804">
            <w:pPr>
              <w:autoSpaceDE w:val="0"/>
              <w:autoSpaceDN w:val="0"/>
              <w:adjustRightInd w:val="0"/>
              <w:snapToGrid w:val="0"/>
              <w:spacing w:line="240" w:lineRule="auto"/>
              <w:jc w:val="center"/>
              <w:rPr>
                <w:rFonts w:eastAsia="Times New Roman"/>
                <w:sz w:val="18"/>
                <w:szCs w:val="14"/>
                <w:lang w:eastAsia="fr-CA"/>
              </w:rPr>
            </w:pPr>
            <w:r w:rsidRPr="002F6804">
              <w:rPr>
                <w:rFonts w:eastAsia="Times New Roman"/>
                <w:sz w:val="18"/>
                <w:szCs w:val="14"/>
                <w:lang w:eastAsia="fr-CA"/>
              </w:rPr>
              <w:t>±1.5</w:t>
            </w:r>
            <w:r w:rsidRPr="002F6804">
              <w:rPr>
                <w:rFonts w:eastAsia="Times New Roman"/>
                <w:sz w:val="18"/>
                <w:szCs w:val="14"/>
                <w:lang w:val="en-CA" w:eastAsia="fr-CA"/>
              </w:rPr>
              <w:t>‰</w:t>
            </w:r>
          </w:p>
        </w:tc>
      </w:tr>
    </w:tbl>
    <w:p w14:paraId="66147985" w14:textId="1D132853" w:rsidR="001F784F" w:rsidRPr="00460CCA" w:rsidRDefault="00FE5916" w:rsidP="00145917">
      <w:pPr>
        <w:pStyle w:val="MDPI52figure"/>
        <w:ind w:left="2608"/>
        <w:jc w:val="left"/>
      </w:pPr>
      <w:r>
        <w:rPr>
          <w:noProof/>
        </w:rPr>
        <w:lastRenderedPageBreak/>
        <w:drawing>
          <wp:inline distT="0" distB="0" distL="0" distR="0" wp14:anchorId="3EB2F0F0" wp14:editId="2D291B90">
            <wp:extent cx="4305300" cy="22479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2247900"/>
                    </a:xfrm>
                    <a:prstGeom prst="rect">
                      <a:avLst/>
                    </a:prstGeom>
                    <a:noFill/>
                    <a:ln>
                      <a:noFill/>
                    </a:ln>
                  </pic:spPr>
                </pic:pic>
              </a:graphicData>
            </a:graphic>
          </wp:inline>
        </w:drawing>
      </w:r>
    </w:p>
    <w:p w14:paraId="594D80AC" w14:textId="35826232" w:rsidR="00460CCA" w:rsidRPr="00A6413F" w:rsidRDefault="00145917" w:rsidP="00145917">
      <w:pPr>
        <w:pStyle w:val="MDPI51figurecaption"/>
        <w:jc w:val="both"/>
      </w:pPr>
      <w:r w:rsidRPr="00145917">
        <w:rPr>
          <w:b/>
        </w:rPr>
        <w:t xml:space="preserve">Figure 9. </w:t>
      </w:r>
      <w:r w:rsidR="003D417A" w:rsidRPr="003D417A">
        <w:rPr>
          <w:bCs/>
        </w:rPr>
        <w:t>Analytical d</w:t>
      </w:r>
      <w:r w:rsidR="00460CCA" w:rsidRPr="003D417A">
        <w:rPr>
          <w:bCs/>
        </w:rPr>
        <w:t>iscrepancies</w:t>
      </w:r>
      <w:r w:rsidR="00460CCA" w:rsidRPr="00460CCA">
        <w:t xml:space="preserve"> between samples collected by passive samplers and </w:t>
      </w:r>
      <w:r w:rsidR="003D417A">
        <w:t xml:space="preserve">those collected by </w:t>
      </w:r>
      <w:r w:rsidR="00460CCA" w:rsidRPr="00460CCA">
        <w:t>low</w:t>
      </w:r>
      <w:r w:rsidR="002529A5">
        <w:t>–</w:t>
      </w:r>
      <w:r w:rsidR="00460CCA" w:rsidRPr="00460CCA">
        <w:t xml:space="preserve">flow </w:t>
      </w:r>
      <w:r w:rsidR="00460CCA" w:rsidRPr="00A6413F">
        <w:t>pumping at</w:t>
      </w:r>
      <w:r w:rsidR="003D417A">
        <w:t xml:space="preserve"> different </w:t>
      </w:r>
      <w:r w:rsidR="00460CCA" w:rsidRPr="00A6413F">
        <w:t>depths for the Chateauguay wellbore.</w:t>
      </w:r>
    </w:p>
    <w:p w14:paraId="4C1AF4AD" w14:textId="03E1EA83" w:rsidR="004C002E" w:rsidRDefault="004C002E" w:rsidP="004C002E">
      <w:pPr>
        <w:pStyle w:val="MDPI31text"/>
      </w:pPr>
      <w:r w:rsidRPr="00A6413F">
        <w:t xml:space="preserve">Electroneutrality errors for the samples (Table </w:t>
      </w:r>
      <w:r w:rsidR="00C33995">
        <w:t>2</w:t>
      </w:r>
      <w:r w:rsidRPr="00A6413F">
        <w:t>) were all below 3.9%. Of the 33 comparative measurements (11 parameters tested at three depths), the mean error is 2 %. Four measurements of Cl</w:t>
      </w:r>
      <w:r w:rsidR="002529A5">
        <w:rPr>
          <w:vertAlign w:val="superscript"/>
        </w:rPr>
        <w:t>–</w:t>
      </w:r>
      <w:r w:rsidRPr="00A6413F">
        <w:t xml:space="preserve"> and SO</w:t>
      </w:r>
      <w:r w:rsidRPr="00A6413F">
        <w:rPr>
          <w:vertAlign w:val="subscript"/>
        </w:rPr>
        <w:t>4</w:t>
      </w:r>
      <w:r w:rsidRPr="00A6413F">
        <w:rPr>
          <w:vertAlign w:val="superscript"/>
        </w:rPr>
        <w:t>2</w:t>
      </w:r>
      <w:r w:rsidR="002529A5">
        <w:rPr>
          <w:vertAlign w:val="superscript"/>
        </w:rPr>
        <w:t>–</w:t>
      </w:r>
      <w:r w:rsidRPr="00A6413F">
        <w:t xml:space="preserve"> at 25 and 37</w:t>
      </w:r>
      <w:r w:rsidR="00F039AD" w:rsidRPr="00F039AD">
        <w:t xml:space="preserve"> </w:t>
      </w:r>
      <w:r w:rsidRPr="00A6413F">
        <w:t>m depths exceeded 10% of discrepancy (Figure 9). The largest discrepancy (</w:t>
      </w:r>
      <w:r w:rsidR="00D14C99" w:rsidRPr="00A6413F">
        <w:t>SO</w:t>
      </w:r>
      <w:r w:rsidR="00D14C99" w:rsidRPr="00A6413F">
        <w:rPr>
          <w:vertAlign w:val="subscript"/>
        </w:rPr>
        <w:t>4</w:t>
      </w:r>
      <w:r w:rsidR="00D14C99" w:rsidRPr="00A6413F">
        <w:rPr>
          <w:vertAlign w:val="superscript"/>
        </w:rPr>
        <w:t>2</w:t>
      </w:r>
      <w:r w:rsidR="002529A5">
        <w:rPr>
          <w:vertAlign w:val="superscript"/>
        </w:rPr>
        <w:t>–</w:t>
      </w:r>
      <w:r w:rsidRPr="00A6413F">
        <w:t xml:space="preserve">, 37 m) could be due to analytical errors or </w:t>
      </w:r>
      <w:r w:rsidR="00D14C99" w:rsidRPr="00A6413F">
        <w:t>SO</w:t>
      </w:r>
      <w:r w:rsidR="00D14C99" w:rsidRPr="00A6413F">
        <w:rPr>
          <w:vertAlign w:val="subscript"/>
        </w:rPr>
        <w:t>4</w:t>
      </w:r>
      <w:r w:rsidR="00D14C99" w:rsidRPr="00A6413F">
        <w:rPr>
          <w:vertAlign w:val="superscript"/>
        </w:rPr>
        <w:t>2</w:t>
      </w:r>
      <w:r w:rsidR="002529A5">
        <w:rPr>
          <w:vertAlign w:val="superscript"/>
        </w:rPr>
        <w:t>–</w:t>
      </w:r>
      <w:r w:rsidRPr="00A6413F">
        <w:t xml:space="preserve"> reduction in the sample prior to analysis. Stable isotopes of water</w:t>
      </w:r>
      <w:r>
        <w:t xml:space="preserve"> show good agreement between both sampling methods, with low discrepancies for δ</w:t>
      </w:r>
      <w:r w:rsidRPr="00D14C99">
        <w:rPr>
          <w:vertAlign w:val="superscript"/>
        </w:rPr>
        <w:t>18</w:t>
      </w:r>
      <w:r>
        <w:t>O and δ</w:t>
      </w:r>
      <w:r w:rsidRPr="00D14C99">
        <w:rPr>
          <w:vertAlign w:val="superscript"/>
        </w:rPr>
        <w:t>2</w:t>
      </w:r>
      <w:r>
        <w:t>H compositions, below the range of their analytical error. It is to be noted that low</w:t>
      </w:r>
      <w:r w:rsidR="002529A5">
        <w:t>–</w:t>
      </w:r>
      <w:r>
        <w:t>flow sampling at depth appears to be more difficult to carry out than passive sampling, so that it can be a source of errors. Although the flow rate for sampling was deliberately limited to 0.25</w:t>
      </w:r>
      <w:r w:rsidR="00F039AD" w:rsidRPr="00F039AD">
        <w:t xml:space="preserve"> </w:t>
      </w:r>
      <w:r>
        <w:t>L/min, the observed disparities may be induced by a change in the flow distribution in the water column during sampling (the permanent flow rate imposed being only 1</w:t>
      </w:r>
      <w:r w:rsidR="00F039AD" w:rsidRPr="00F039AD">
        <w:t xml:space="preserve"> </w:t>
      </w:r>
      <w:r>
        <w:t xml:space="preserve">L/min). </w:t>
      </w:r>
      <w:r w:rsidR="00CE1C60">
        <w:t>Additionally,</w:t>
      </w:r>
      <w:r>
        <w:t xml:space="preserve"> even if the purging was carried out for a volume five times that of the tubing before sampling (i.e., 1</w:t>
      </w:r>
      <w:r w:rsidR="00F039AD" w:rsidRPr="00F039AD">
        <w:t xml:space="preserve"> </w:t>
      </w:r>
      <w:r>
        <w:t>L to 1.6</w:t>
      </w:r>
      <w:r w:rsidR="00F039AD" w:rsidRPr="00F039AD">
        <w:t xml:space="preserve"> </w:t>
      </w:r>
      <w:r>
        <w:t>L for HDPE tubing of 25</w:t>
      </w:r>
      <w:r w:rsidR="00F039AD" w:rsidRPr="00F039AD">
        <w:t xml:space="preserve"> </w:t>
      </w:r>
      <w:r>
        <w:t>m to 41</w:t>
      </w:r>
      <w:r w:rsidR="00F039AD" w:rsidRPr="00F039AD">
        <w:t xml:space="preserve"> </w:t>
      </w:r>
      <w:r>
        <w:t>m long, 0.3</w:t>
      </w:r>
      <w:r w:rsidR="00F039AD" w:rsidRPr="00F039AD">
        <w:t xml:space="preserve"> </w:t>
      </w:r>
      <w:r>
        <w:t>cm diameter), it remains possible that the flushing of the tubing was not perfectly attained and affects the samples collected.</w:t>
      </w:r>
    </w:p>
    <w:p w14:paraId="489F64FD" w14:textId="17972E41" w:rsidR="00330F0F" w:rsidRPr="007B371E" w:rsidRDefault="004C002E" w:rsidP="007B371E">
      <w:pPr>
        <w:pStyle w:val="MDPI31text"/>
      </w:pPr>
      <w:r>
        <w:t xml:space="preserve">Another test was conducted at the Chateauguay wellbore to compare the chemical composition of the equivalent mixture calculated from the intensity and the composition (deconvoluted) at each fracture (from passive sampling), with the composition of the sample collected at the discharge of the main pumping. The comparison between physical parameters, major ions and stable isotopes are in good agreement, with differences of less than 5%, except for the electrical conductivity (10%) and </w:t>
      </w:r>
      <w:r w:rsidR="00D14C99">
        <w:t>SO</w:t>
      </w:r>
      <w:r w:rsidR="00D14C99" w:rsidRPr="004C002E">
        <w:rPr>
          <w:vertAlign w:val="subscript"/>
        </w:rPr>
        <w:t>4</w:t>
      </w:r>
      <w:r w:rsidR="00D14C99" w:rsidRPr="004C002E">
        <w:rPr>
          <w:vertAlign w:val="superscript"/>
        </w:rPr>
        <w:t>2</w:t>
      </w:r>
      <w:r w:rsidR="002529A5">
        <w:rPr>
          <w:vertAlign w:val="superscript"/>
        </w:rPr>
        <w:t>–</w:t>
      </w:r>
      <w:r>
        <w:t xml:space="preserve"> (14%) (</w:t>
      </w:r>
      <w:r w:rsidRPr="00145917">
        <w:t xml:space="preserve">Table </w:t>
      </w:r>
      <w:r w:rsidR="00C33995">
        <w:t>3</w:t>
      </w:r>
      <w:r w:rsidRPr="00145917">
        <w:t>).</w:t>
      </w:r>
    </w:p>
    <w:p w14:paraId="508C36BE" w14:textId="788EEF4B" w:rsidR="004C002E" w:rsidRPr="00D14C99" w:rsidRDefault="00145917" w:rsidP="00145917">
      <w:pPr>
        <w:pStyle w:val="MDPI41tablecaption"/>
        <w:ind w:left="425" w:right="425"/>
        <w:jc w:val="both"/>
        <w:rPr>
          <w:b/>
        </w:rPr>
      </w:pPr>
      <w:r w:rsidRPr="00145917">
        <w:rPr>
          <w:b/>
        </w:rPr>
        <w:t xml:space="preserve">Table </w:t>
      </w:r>
      <w:r w:rsidR="00C33995">
        <w:rPr>
          <w:b/>
        </w:rPr>
        <w:t>3</w:t>
      </w:r>
      <w:r w:rsidRPr="00145917">
        <w:rPr>
          <w:b/>
        </w:rPr>
        <w:t xml:space="preserve">. </w:t>
      </w:r>
      <w:r w:rsidR="004C002E" w:rsidRPr="00D14C99">
        <w:t>Comparison of passive sampling with samples collected at the pumping discharge of the Chateauguay wellbore.</w:t>
      </w:r>
    </w:p>
    <w:tbl>
      <w:tblPr>
        <w:tblW w:w="10465"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1629"/>
        <w:gridCol w:w="831"/>
        <w:gridCol w:w="393"/>
        <w:gridCol w:w="751"/>
        <w:gridCol w:w="747"/>
        <w:gridCol w:w="787"/>
        <w:gridCol w:w="724"/>
        <w:gridCol w:w="640"/>
        <w:gridCol w:w="886"/>
        <w:gridCol w:w="678"/>
        <w:gridCol w:w="581"/>
        <w:gridCol w:w="893"/>
        <w:gridCol w:w="925"/>
      </w:tblGrid>
      <w:tr w:rsidR="00145917" w:rsidRPr="00145917" w14:paraId="5C9FEC30" w14:textId="77777777" w:rsidTr="00FA0F96">
        <w:trPr>
          <w:jc w:val="center"/>
        </w:trPr>
        <w:tc>
          <w:tcPr>
            <w:tcW w:w="1629" w:type="dxa"/>
            <w:vMerge w:val="restart"/>
            <w:shd w:val="clear" w:color="auto" w:fill="auto"/>
            <w:noWrap/>
            <w:vAlign w:val="center"/>
            <w:hideMark/>
          </w:tcPr>
          <w:p w14:paraId="0BD504CD" w14:textId="77777777" w:rsidR="00D14C99" w:rsidRPr="00145917" w:rsidRDefault="00D14C99" w:rsidP="00145917">
            <w:pPr>
              <w:autoSpaceDE w:val="0"/>
              <w:autoSpaceDN w:val="0"/>
              <w:adjustRightInd w:val="0"/>
              <w:snapToGrid w:val="0"/>
              <w:spacing w:line="240" w:lineRule="auto"/>
              <w:jc w:val="center"/>
              <w:rPr>
                <w:rFonts w:eastAsia="Times New Roman"/>
                <w:b/>
                <w:bCs/>
                <w:sz w:val="18"/>
                <w:szCs w:val="14"/>
                <w:lang w:val="en-CA" w:eastAsia="fr-CA"/>
              </w:rPr>
            </w:pPr>
            <w:r w:rsidRPr="00145917">
              <w:rPr>
                <w:rFonts w:eastAsia="Times New Roman"/>
                <w:b/>
                <w:bCs/>
                <w:sz w:val="18"/>
                <w:szCs w:val="14"/>
                <w:lang w:eastAsia="fr-CA"/>
              </w:rPr>
              <w:t>Passive Sampler</w:t>
            </w:r>
          </w:p>
        </w:tc>
        <w:tc>
          <w:tcPr>
            <w:tcW w:w="831" w:type="dxa"/>
            <w:shd w:val="clear" w:color="auto" w:fill="auto"/>
            <w:vAlign w:val="center"/>
            <w:hideMark/>
          </w:tcPr>
          <w:p w14:paraId="0625F070" w14:textId="77777777" w:rsidR="00D14C99" w:rsidRPr="00145917" w:rsidRDefault="00D14C99" w:rsidP="00145917">
            <w:pPr>
              <w:autoSpaceDE w:val="0"/>
              <w:autoSpaceDN w:val="0"/>
              <w:adjustRightInd w:val="0"/>
              <w:snapToGrid w:val="0"/>
              <w:spacing w:line="240" w:lineRule="auto"/>
              <w:jc w:val="center"/>
              <w:rPr>
                <w:rFonts w:eastAsia="Times New Roman"/>
                <w:b/>
                <w:bCs/>
                <w:sz w:val="18"/>
                <w:szCs w:val="14"/>
                <w:lang w:eastAsia="fr-CA"/>
              </w:rPr>
            </w:pPr>
            <w:r w:rsidRPr="00145917">
              <w:rPr>
                <w:rFonts w:eastAsia="Times New Roman"/>
                <w:b/>
                <w:bCs/>
                <w:sz w:val="18"/>
                <w:szCs w:val="14"/>
                <w:lang w:eastAsia="fr-CA"/>
              </w:rPr>
              <w:t>Depth (m)</w:t>
            </w:r>
          </w:p>
        </w:tc>
        <w:tc>
          <w:tcPr>
            <w:tcW w:w="393" w:type="dxa"/>
            <w:shd w:val="clear" w:color="auto" w:fill="auto"/>
            <w:noWrap/>
            <w:vAlign w:val="center"/>
            <w:hideMark/>
          </w:tcPr>
          <w:p w14:paraId="7885A27F" w14:textId="77777777" w:rsidR="00D14C99" w:rsidRPr="00145917" w:rsidRDefault="00D14C99" w:rsidP="00145917">
            <w:pPr>
              <w:autoSpaceDE w:val="0"/>
              <w:autoSpaceDN w:val="0"/>
              <w:adjustRightInd w:val="0"/>
              <w:snapToGrid w:val="0"/>
              <w:spacing w:line="240" w:lineRule="auto"/>
              <w:jc w:val="center"/>
              <w:rPr>
                <w:rFonts w:eastAsia="Times New Roman"/>
                <w:b/>
                <w:bCs/>
                <w:sz w:val="18"/>
                <w:szCs w:val="14"/>
                <w:lang w:eastAsia="fr-CA"/>
              </w:rPr>
            </w:pPr>
            <w:r w:rsidRPr="00145917">
              <w:rPr>
                <w:rFonts w:eastAsia="Times New Roman"/>
                <w:b/>
                <w:bCs/>
                <w:sz w:val="18"/>
                <w:szCs w:val="14"/>
                <w:lang w:eastAsia="fr-CA"/>
              </w:rPr>
              <w:t>pH</w:t>
            </w:r>
          </w:p>
        </w:tc>
        <w:tc>
          <w:tcPr>
            <w:tcW w:w="751" w:type="dxa"/>
            <w:shd w:val="clear" w:color="auto" w:fill="auto"/>
            <w:vAlign w:val="center"/>
            <w:hideMark/>
          </w:tcPr>
          <w:p w14:paraId="39B7C99D" w14:textId="34ADCB22" w:rsidR="00D14C99" w:rsidRPr="00145917" w:rsidRDefault="00D14C99" w:rsidP="00145917">
            <w:pPr>
              <w:autoSpaceDE w:val="0"/>
              <w:autoSpaceDN w:val="0"/>
              <w:adjustRightInd w:val="0"/>
              <w:snapToGrid w:val="0"/>
              <w:spacing w:line="240" w:lineRule="auto"/>
              <w:jc w:val="center"/>
              <w:rPr>
                <w:rFonts w:eastAsia="Times New Roman"/>
                <w:b/>
                <w:bCs/>
                <w:sz w:val="18"/>
                <w:szCs w:val="14"/>
                <w:lang w:eastAsia="fr-CA"/>
              </w:rPr>
            </w:pPr>
            <w:r w:rsidRPr="00145917">
              <w:rPr>
                <w:rFonts w:eastAsia="Times New Roman"/>
                <w:b/>
                <w:bCs/>
                <w:sz w:val="18"/>
                <w:szCs w:val="14"/>
                <w:lang w:eastAsia="fr-CA"/>
              </w:rPr>
              <w:t>EC</w:t>
            </w:r>
            <w:r w:rsidR="00F32F96">
              <w:rPr>
                <w:rFonts w:eastAsia="Times New Roman"/>
                <w:b/>
                <w:bCs/>
                <w:sz w:val="18"/>
                <w:szCs w:val="14"/>
                <w:lang w:eastAsia="fr-CA"/>
              </w:rPr>
              <w:t xml:space="preserve"> </w:t>
            </w:r>
            <w:r w:rsidRPr="00145917">
              <w:rPr>
                <w:rFonts w:eastAsia="Times New Roman"/>
                <w:b/>
                <w:bCs/>
                <w:sz w:val="18"/>
                <w:szCs w:val="14"/>
                <w:lang w:eastAsia="fr-CA"/>
              </w:rPr>
              <w:t>μS/cm</w:t>
            </w:r>
          </w:p>
        </w:tc>
        <w:tc>
          <w:tcPr>
            <w:tcW w:w="747" w:type="dxa"/>
            <w:shd w:val="clear" w:color="auto" w:fill="auto"/>
            <w:noWrap/>
            <w:vAlign w:val="center"/>
            <w:hideMark/>
          </w:tcPr>
          <w:p w14:paraId="5ABE6007" w14:textId="77777777" w:rsidR="00D14C99" w:rsidRPr="00145917" w:rsidRDefault="00D14C99" w:rsidP="00145917">
            <w:pPr>
              <w:autoSpaceDE w:val="0"/>
              <w:autoSpaceDN w:val="0"/>
              <w:adjustRightInd w:val="0"/>
              <w:snapToGrid w:val="0"/>
              <w:spacing w:line="240" w:lineRule="auto"/>
              <w:jc w:val="center"/>
              <w:rPr>
                <w:rFonts w:eastAsia="Times New Roman"/>
                <w:b/>
                <w:bCs/>
                <w:sz w:val="18"/>
                <w:szCs w:val="14"/>
                <w:lang w:eastAsia="fr-CA"/>
              </w:rPr>
            </w:pPr>
            <w:r w:rsidRPr="00145917">
              <w:rPr>
                <w:rFonts w:eastAsia="Times New Roman"/>
                <w:b/>
                <w:bCs/>
                <w:sz w:val="18"/>
                <w:szCs w:val="14"/>
                <w:lang w:eastAsia="fr-CA"/>
              </w:rPr>
              <w:t>Ca</w:t>
            </w:r>
            <w:r w:rsidRPr="00145917">
              <w:rPr>
                <w:rFonts w:eastAsia="Times New Roman"/>
                <w:b/>
                <w:bCs/>
                <w:sz w:val="18"/>
                <w:szCs w:val="14"/>
                <w:vertAlign w:val="superscript"/>
                <w:lang w:eastAsia="fr-CA"/>
              </w:rPr>
              <w:t>2+</w:t>
            </w:r>
            <w:r w:rsidRPr="00145917">
              <w:rPr>
                <w:rFonts w:eastAsia="Times New Roman"/>
                <w:b/>
                <w:bCs/>
                <w:sz w:val="18"/>
                <w:szCs w:val="14"/>
                <w:lang w:eastAsia="fr-CA"/>
              </w:rPr>
              <w:t xml:space="preserve"> mg/L</w:t>
            </w:r>
          </w:p>
        </w:tc>
        <w:tc>
          <w:tcPr>
            <w:tcW w:w="787" w:type="dxa"/>
            <w:shd w:val="clear" w:color="auto" w:fill="auto"/>
            <w:noWrap/>
            <w:vAlign w:val="center"/>
            <w:hideMark/>
          </w:tcPr>
          <w:p w14:paraId="5476DE22" w14:textId="77777777" w:rsidR="00D14C99" w:rsidRPr="00145917" w:rsidRDefault="00D14C99" w:rsidP="00145917">
            <w:pPr>
              <w:autoSpaceDE w:val="0"/>
              <w:autoSpaceDN w:val="0"/>
              <w:adjustRightInd w:val="0"/>
              <w:snapToGrid w:val="0"/>
              <w:spacing w:line="240" w:lineRule="auto"/>
              <w:jc w:val="center"/>
              <w:rPr>
                <w:rFonts w:eastAsia="Times New Roman"/>
                <w:b/>
                <w:bCs/>
                <w:sz w:val="18"/>
                <w:szCs w:val="14"/>
                <w:lang w:eastAsia="fr-CA"/>
              </w:rPr>
            </w:pPr>
            <w:r w:rsidRPr="00145917">
              <w:rPr>
                <w:rFonts w:eastAsia="Times New Roman"/>
                <w:b/>
                <w:bCs/>
                <w:sz w:val="18"/>
                <w:szCs w:val="14"/>
                <w:lang w:eastAsia="fr-CA"/>
              </w:rPr>
              <w:t>Mg</w:t>
            </w:r>
            <w:r w:rsidRPr="00145917">
              <w:rPr>
                <w:rFonts w:eastAsia="Times New Roman"/>
                <w:b/>
                <w:bCs/>
                <w:sz w:val="18"/>
                <w:szCs w:val="14"/>
                <w:vertAlign w:val="superscript"/>
                <w:lang w:eastAsia="fr-CA"/>
              </w:rPr>
              <w:t>2+</w:t>
            </w:r>
            <w:r w:rsidRPr="00145917">
              <w:rPr>
                <w:rFonts w:eastAsia="Times New Roman"/>
                <w:b/>
                <w:bCs/>
                <w:sz w:val="18"/>
                <w:szCs w:val="14"/>
                <w:lang w:eastAsia="fr-CA"/>
              </w:rPr>
              <w:t xml:space="preserve"> mg/L</w:t>
            </w:r>
          </w:p>
        </w:tc>
        <w:tc>
          <w:tcPr>
            <w:tcW w:w="724" w:type="dxa"/>
            <w:shd w:val="clear" w:color="auto" w:fill="auto"/>
            <w:noWrap/>
            <w:vAlign w:val="center"/>
            <w:hideMark/>
          </w:tcPr>
          <w:p w14:paraId="6F34A646" w14:textId="77777777" w:rsidR="00D14C99" w:rsidRPr="00145917" w:rsidRDefault="00D14C99" w:rsidP="00145917">
            <w:pPr>
              <w:autoSpaceDE w:val="0"/>
              <w:autoSpaceDN w:val="0"/>
              <w:adjustRightInd w:val="0"/>
              <w:snapToGrid w:val="0"/>
              <w:spacing w:line="240" w:lineRule="auto"/>
              <w:jc w:val="center"/>
              <w:rPr>
                <w:rFonts w:eastAsia="Times New Roman"/>
                <w:b/>
                <w:bCs/>
                <w:sz w:val="18"/>
                <w:szCs w:val="14"/>
                <w:lang w:eastAsia="fr-CA"/>
              </w:rPr>
            </w:pPr>
            <w:r w:rsidRPr="00145917">
              <w:rPr>
                <w:rFonts w:eastAsia="Times New Roman"/>
                <w:b/>
                <w:bCs/>
                <w:sz w:val="18"/>
                <w:szCs w:val="14"/>
                <w:lang w:eastAsia="fr-CA"/>
              </w:rPr>
              <w:t>Na</w:t>
            </w:r>
            <w:r w:rsidRPr="00145917">
              <w:rPr>
                <w:rFonts w:eastAsia="Times New Roman"/>
                <w:b/>
                <w:bCs/>
                <w:sz w:val="18"/>
                <w:szCs w:val="14"/>
                <w:vertAlign w:val="superscript"/>
                <w:lang w:eastAsia="fr-CA"/>
              </w:rPr>
              <w:t>+</w:t>
            </w:r>
            <w:r w:rsidRPr="00145917">
              <w:rPr>
                <w:rFonts w:eastAsia="Times New Roman"/>
                <w:b/>
                <w:bCs/>
                <w:sz w:val="18"/>
                <w:szCs w:val="14"/>
                <w:lang w:eastAsia="fr-CA"/>
              </w:rPr>
              <w:t xml:space="preserve"> mg/L</w:t>
            </w:r>
          </w:p>
        </w:tc>
        <w:tc>
          <w:tcPr>
            <w:tcW w:w="640" w:type="dxa"/>
            <w:shd w:val="clear" w:color="auto" w:fill="auto"/>
            <w:noWrap/>
            <w:vAlign w:val="center"/>
            <w:hideMark/>
          </w:tcPr>
          <w:p w14:paraId="51DBC929" w14:textId="77777777" w:rsidR="00D14C99" w:rsidRPr="00145917" w:rsidRDefault="00D14C99" w:rsidP="00145917">
            <w:pPr>
              <w:autoSpaceDE w:val="0"/>
              <w:autoSpaceDN w:val="0"/>
              <w:adjustRightInd w:val="0"/>
              <w:snapToGrid w:val="0"/>
              <w:spacing w:line="240" w:lineRule="auto"/>
              <w:jc w:val="center"/>
              <w:rPr>
                <w:rFonts w:eastAsia="Times New Roman"/>
                <w:b/>
                <w:bCs/>
                <w:sz w:val="18"/>
                <w:szCs w:val="14"/>
                <w:lang w:eastAsia="fr-CA"/>
              </w:rPr>
            </w:pPr>
            <w:r w:rsidRPr="00145917">
              <w:rPr>
                <w:rFonts w:eastAsia="Times New Roman"/>
                <w:b/>
                <w:bCs/>
                <w:sz w:val="18"/>
                <w:szCs w:val="14"/>
                <w:lang w:eastAsia="fr-CA"/>
              </w:rPr>
              <w:t>K</w:t>
            </w:r>
            <w:r w:rsidRPr="00145917">
              <w:rPr>
                <w:rFonts w:eastAsia="Times New Roman"/>
                <w:b/>
                <w:bCs/>
                <w:sz w:val="18"/>
                <w:szCs w:val="14"/>
                <w:vertAlign w:val="superscript"/>
                <w:lang w:eastAsia="fr-CA"/>
              </w:rPr>
              <w:t>+</w:t>
            </w:r>
            <w:r w:rsidRPr="00145917">
              <w:rPr>
                <w:rFonts w:eastAsia="Times New Roman"/>
                <w:b/>
                <w:bCs/>
                <w:sz w:val="18"/>
                <w:szCs w:val="14"/>
                <w:lang w:eastAsia="fr-CA"/>
              </w:rPr>
              <w:t xml:space="preserve"> mg/L</w:t>
            </w:r>
          </w:p>
        </w:tc>
        <w:tc>
          <w:tcPr>
            <w:tcW w:w="886" w:type="dxa"/>
            <w:shd w:val="clear" w:color="auto" w:fill="auto"/>
            <w:noWrap/>
            <w:vAlign w:val="center"/>
            <w:hideMark/>
          </w:tcPr>
          <w:p w14:paraId="77C0FBF0" w14:textId="168A0BA1" w:rsidR="00D14C99" w:rsidRPr="00145917" w:rsidRDefault="00D14C99" w:rsidP="00145917">
            <w:pPr>
              <w:autoSpaceDE w:val="0"/>
              <w:autoSpaceDN w:val="0"/>
              <w:adjustRightInd w:val="0"/>
              <w:snapToGrid w:val="0"/>
              <w:spacing w:line="240" w:lineRule="auto"/>
              <w:jc w:val="center"/>
              <w:rPr>
                <w:rFonts w:eastAsia="Times New Roman"/>
                <w:b/>
                <w:bCs/>
                <w:sz w:val="18"/>
                <w:szCs w:val="14"/>
                <w:lang w:eastAsia="fr-CA"/>
              </w:rPr>
            </w:pPr>
            <w:r w:rsidRPr="00145917">
              <w:rPr>
                <w:rFonts w:eastAsia="Times New Roman"/>
                <w:b/>
                <w:bCs/>
                <w:sz w:val="18"/>
                <w:szCs w:val="14"/>
                <w:lang w:eastAsia="fr-CA"/>
              </w:rPr>
              <w:t>HCO</w:t>
            </w:r>
            <w:r w:rsidRPr="00145917">
              <w:rPr>
                <w:rFonts w:eastAsia="Times New Roman"/>
                <w:b/>
                <w:bCs/>
                <w:sz w:val="18"/>
                <w:szCs w:val="14"/>
                <w:vertAlign w:val="subscript"/>
                <w:lang w:eastAsia="fr-CA"/>
              </w:rPr>
              <w:t>3</w:t>
            </w:r>
            <w:r w:rsidR="002529A5" w:rsidRPr="00145917">
              <w:rPr>
                <w:rFonts w:eastAsia="Times New Roman"/>
                <w:b/>
                <w:bCs/>
                <w:sz w:val="18"/>
                <w:szCs w:val="14"/>
                <w:vertAlign w:val="superscript"/>
                <w:lang w:eastAsia="fr-CA"/>
              </w:rPr>
              <w:t>–</w:t>
            </w:r>
            <w:r w:rsidRPr="00145917">
              <w:rPr>
                <w:rFonts w:eastAsia="Times New Roman"/>
                <w:b/>
                <w:bCs/>
                <w:sz w:val="18"/>
                <w:szCs w:val="14"/>
                <w:vertAlign w:val="subscript"/>
                <w:lang w:eastAsia="fr-CA"/>
              </w:rPr>
              <w:t xml:space="preserve"> </w:t>
            </w:r>
            <w:r w:rsidRPr="00145917">
              <w:rPr>
                <w:rFonts w:eastAsia="Times New Roman"/>
                <w:b/>
                <w:bCs/>
                <w:sz w:val="18"/>
                <w:szCs w:val="14"/>
                <w:lang w:eastAsia="fr-CA"/>
              </w:rPr>
              <w:t>mg/L</w:t>
            </w:r>
          </w:p>
        </w:tc>
        <w:tc>
          <w:tcPr>
            <w:tcW w:w="678" w:type="dxa"/>
            <w:shd w:val="clear" w:color="auto" w:fill="auto"/>
            <w:noWrap/>
            <w:vAlign w:val="center"/>
            <w:hideMark/>
          </w:tcPr>
          <w:p w14:paraId="418E226B" w14:textId="42012CE9" w:rsidR="00D14C99" w:rsidRPr="00145917" w:rsidRDefault="00D14C99" w:rsidP="00145917">
            <w:pPr>
              <w:autoSpaceDE w:val="0"/>
              <w:autoSpaceDN w:val="0"/>
              <w:adjustRightInd w:val="0"/>
              <w:snapToGrid w:val="0"/>
              <w:spacing w:line="240" w:lineRule="auto"/>
              <w:jc w:val="center"/>
              <w:rPr>
                <w:rFonts w:eastAsia="Times New Roman"/>
                <w:b/>
                <w:bCs/>
                <w:sz w:val="18"/>
                <w:szCs w:val="14"/>
                <w:lang w:eastAsia="fr-CA"/>
              </w:rPr>
            </w:pPr>
            <w:r w:rsidRPr="00145917">
              <w:rPr>
                <w:rFonts w:eastAsia="Times New Roman"/>
                <w:b/>
                <w:bCs/>
                <w:sz w:val="18"/>
                <w:szCs w:val="14"/>
                <w:lang w:eastAsia="fr-CA"/>
              </w:rPr>
              <w:t>Cl</w:t>
            </w:r>
            <w:r w:rsidR="002529A5" w:rsidRPr="00145917">
              <w:rPr>
                <w:rFonts w:eastAsia="Times New Roman"/>
                <w:b/>
                <w:bCs/>
                <w:sz w:val="18"/>
                <w:szCs w:val="14"/>
                <w:vertAlign w:val="superscript"/>
                <w:lang w:eastAsia="fr-CA"/>
              </w:rPr>
              <w:t>–</w:t>
            </w:r>
            <w:r w:rsidRPr="00145917">
              <w:rPr>
                <w:rFonts w:eastAsia="Times New Roman"/>
                <w:b/>
                <w:bCs/>
                <w:sz w:val="18"/>
                <w:szCs w:val="14"/>
                <w:lang w:eastAsia="fr-CA"/>
              </w:rPr>
              <w:t xml:space="preserve"> mg/L</w:t>
            </w:r>
          </w:p>
        </w:tc>
        <w:tc>
          <w:tcPr>
            <w:tcW w:w="581" w:type="dxa"/>
            <w:shd w:val="clear" w:color="auto" w:fill="auto"/>
            <w:noWrap/>
            <w:vAlign w:val="center"/>
            <w:hideMark/>
          </w:tcPr>
          <w:p w14:paraId="04CB4302" w14:textId="14D41F6C" w:rsidR="00D14C99" w:rsidRPr="00145917" w:rsidRDefault="00D14C99" w:rsidP="00145917">
            <w:pPr>
              <w:autoSpaceDE w:val="0"/>
              <w:autoSpaceDN w:val="0"/>
              <w:adjustRightInd w:val="0"/>
              <w:snapToGrid w:val="0"/>
              <w:spacing w:line="240" w:lineRule="auto"/>
              <w:jc w:val="center"/>
              <w:rPr>
                <w:rFonts w:eastAsia="Times New Roman"/>
                <w:b/>
                <w:bCs/>
                <w:sz w:val="18"/>
                <w:szCs w:val="14"/>
                <w:lang w:eastAsia="fr-CA"/>
              </w:rPr>
            </w:pPr>
            <w:r w:rsidRPr="00145917">
              <w:rPr>
                <w:rFonts w:eastAsia="Times New Roman"/>
                <w:b/>
                <w:bCs/>
                <w:sz w:val="18"/>
                <w:szCs w:val="14"/>
                <w:lang w:eastAsia="fr-CA"/>
              </w:rPr>
              <w:t>SO</w:t>
            </w:r>
            <w:r w:rsidRPr="00145917">
              <w:rPr>
                <w:rFonts w:eastAsia="Times New Roman"/>
                <w:b/>
                <w:bCs/>
                <w:sz w:val="18"/>
                <w:szCs w:val="14"/>
                <w:vertAlign w:val="subscript"/>
                <w:lang w:eastAsia="fr-CA"/>
              </w:rPr>
              <w:t>4</w:t>
            </w:r>
            <w:r w:rsidRPr="00145917">
              <w:rPr>
                <w:rFonts w:eastAsia="Times New Roman"/>
                <w:b/>
                <w:bCs/>
                <w:sz w:val="18"/>
                <w:szCs w:val="14"/>
                <w:vertAlign w:val="superscript"/>
                <w:lang w:eastAsia="fr-CA"/>
              </w:rPr>
              <w:t>2</w:t>
            </w:r>
            <w:r w:rsidR="002529A5" w:rsidRPr="00145917">
              <w:rPr>
                <w:rFonts w:eastAsia="Times New Roman"/>
                <w:b/>
                <w:bCs/>
                <w:sz w:val="18"/>
                <w:szCs w:val="14"/>
                <w:vertAlign w:val="superscript"/>
                <w:lang w:eastAsia="fr-CA"/>
              </w:rPr>
              <w:t>–</w:t>
            </w:r>
            <w:r w:rsidRPr="00145917">
              <w:rPr>
                <w:rFonts w:eastAsia="Times New Roman"/>
                <w:b/>
                <w:bCs/>
                <w:sz w:val="18"/>
                <w:szCs w:val="14"/>
                <w:vertAlign w:val="subscript"/>
                <w:lang w:eastAsia="fr-CA"/>
              </w:rPr>
              <w:t xml:space="preserve"> </w:t>
            </w:r>
            <w:r w:rsidRPr="00145917">
              <w:rPr>
                <w:rFonts w:eastAsia="Times New Roman"/>
                <w:b/>
                <w:bCs/>
                <w:sz w:val="18"/>
                <w:szCs w:val="14"/>
                <w:lang w:eastAsia="fr-CA"/>
              </w:rPr>
              <w:t>mg/L</w:t>
            </w:r>
          </w:p>
        </w:tc>
        <w:tc>
          <w:tcPr>
            <w:tcW w:w="893" w:type="dxa"/>
            <w:shd w:val="clear" w:color="auto" w:fill="auto"/>
            <w:noWrap/>
            <w:vAlign w:val="center"/>
            <w:hideMark/>
          </w:tcPr>
          <w:p w14:paraId="56AA0F2A" w14:textId="3A993952" w:rsidR="00913063" w:rsidRPr="00145917" w:rsidRDefault="00D14C99" w:rsidP="00145917">
            <w:pPr>
              <w:autoSpaceDE w:val="0"/>
              <w:autoSpaceDN w:val="0"/>
              <w:adjustRightInd w:val="0"/>
              <w:snapToGrid w:val="0"/>
              <w:spacing w:line="240" w:lineRule="auto"/>
              <w:jc w:val="center"/>
              <w:rPr>
                <w:rFonts w:eastAsia="Times New Roman"/>
                <w:b/>
                <w:bCs/>
                <w:sz w:val="18"/>
                <w:szCs w:val="14"/>
                <w:lang w:eastAsia="fr-CA"/>
              </w:rPr>
            </w:pPr>
            <w:r w:rsidRPr="00145917">
              <w:rPr>
                <w:b/>
                <w:bCs/>
                <w:sz w:val="18"/>
                <w:szCs w:val="14"/>
                <w:lang w:val="en-CA"/>
              </w:rPr>
              <w:t>δ</w:t>
            </w:r>
            <w:r w:rsidRPr="00145917">
              <w:rPr>
                <w:rFonts w:eastAsia="Times New Roman"/>
                <w:b/>
                <w:bCs/>
                <w:sz w:val="18"/>
                <w:szCs w:val="14"/>
                <w:vertAlign w:val="superscript"/>
                <w:lang w:eastAsia="fr-CA"/>
              </w:rPr>
              <w:t>18</w:t>
            </w:r>
            <w:r w:rsidRPr="00145917">
              <w:rPr>
                <w:rFonts w:eastAsia="Times New Roman"/>
                <w:b/>
                <w:bCs/>
                <w:sz w:val="18"/>
                <w:szCs w:val="14"/>
                <w:lang w:eastAsia="fr-CA"/>
              </w:rPr>
              <w:t xml:space="preserve">O‰ </w:t>
            </w:r>
          </w:p>
          <w:p w14:paraId="04D658EE" w14:textId="058EE9C0" w:rsidR="00D14C99" w:rsidRPr="00145917" w:rsidRDefault="00D14C99" w:rsidP="00145917">
            <w:pPr>
              <w:autoSpaceDE w:val="0"/>
              <w:autoSpaceDN w:val="0"/>
              <w:adjustRightInd w:val="0"/>
              <w:snapToGrid w:val="0"/>
              <w:spacing w:line="240" w:lineRule="auto"/>
              <w:jc w:val="center"/>
              <w:rPr>
                <w:b/>
                <w:bCs/>
                <w:sz w:val="18"/>
                <w:szCs w:val="14"/>
              </w:rPr>
            </w:pPr>
            <w:r w:rsidRPr="00145917">
              <w:rPr>
                <w:rFonts w:eastAsia="Times New Roman"/>
                <w:b/>
                <w:bCs/>
                <w:sz w:val="18"/>
                <w:szCs w:val="14"/>
                <w:lang w:eastAsia="fr-CA"/>
              </w:rPr>
              <w:t>VSMOW</w:t>
            </w:r>
          </w:p>
        </w:tc>
        <w:tc>
          <w:tcPr>
            <w:tcW w:w="925" w:type="dxa"/>
            <w:shd w:val="clear" w:color="auto" w:fill="auto"/>
            <w:vAlign w:val="center"/>
          </w:tcPr>
          <w:p w14:paraId="2E1E5497" w14:textId="53211518" w:rsidR="00D14C99" w:rsidRPr="00145917" w:rsidRDefault="00D14C99" w:rsidP="00145917">
            <w:pPr>
              <w:autoSpaceDE w:val="0"/>
              <w:autoSpaceDN w:val="0"/>
              <w:adjustRightInd w:val="0"/>
              <w:snapToGrid w:val="0"/>
              <w:spacing w:line="240" w:lineRule="auto"/>
              <w:jc w:val="center"/>
              <w:rPr>
                <w:b/>
                <w:bCs/>
                <w:sz w:val="18"/>
                <w:szCs w:val="14"/>
              </w:rPr>
            </w:pPr>
            <w:r w:rsidRPr="00145917">
              <w:rPr>
                <w:b/>
                <w:bCs/>
                <w:sz w:val="18"/>
                <w:szCs w:val="14"/>
                <w:lang w:val="en-CA"/>
              </w:rPr>
              <w:t>δ</w:t>
            </w:r>
            <w:r w:rsidRPr="00145917">
              <w:rPr>
                <w:rFonts w:eastAsia="Times New Roman"/>
                <w:b/>
                <w:bCs/>
                <w:sz w:val="18"/>
                <w:szCs w:val="14"/>
                <w:vertAlign w:val="superscript"/>
                <w:lang w:eastAsia="fr-CA"/>
              </w:rPr>
              <w:t>2</w:t>
            </w:r>
            <w:r w:rsidRPr="00145917">
              <w:rPr>
                <w:rFonts w:eastAsia="Times New Roman"/>
                <w:b/>
                <w:bCs/>
                <w:sz w:val="18"/>
                <w:szCs w:val="14"/>
                <w:lang w:eastAsia="fr-CA"/>
              </w:rPr>
              <w:t>H‰ VSMOW</w:t>
            </w:r>
          </w:p>
        </w:tc>
      </w:tr>
      <w:tr w:rsidR="00145917" w:rsidRPr="00145917" w14:paraId="7188A45E" w14:textId="77777777" w:rsidTr="00FA0F96">
        <w:trPr>
          <w:jc w:val="center"/>
        </w:trPr>
        <w:tc>
          <w:tcPr>
            <w:tcW w:w="1629" w:type="dxa"/>
            <w:vMerge/>
            <w:shd w:val="clear" w:color="auto" w:fill="auto"/>
            <w:vAlign w:val="center"/>
            <w:hideMark/>
          </w:tcPr>
          <w:p w14:paraId="7E34C447"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p>
        </w:tc>
        <w:tc>
          <w:tcPr>
            <w:tcW w:w="831" w:type="dxa"/>
            <w:shd w:val="clear" w:color="auto" w:fill="auto"/>
            <w:noWrap/>
            <w:vAlign w:val="center"/>
            <w:hideMark/>
          </w:tcPr>
          <w:p w14:paraId="495AC5A3"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25</w:t>
            </w:r>
          </w:p>
        </w:tc>
        <w:tc>
          <w:tcPr>
            <w:tcW w:w="393" w:type="dxa"/>
            <w:shd w:val="clear" w:color="auto" w:fill="auto"/>
            <w:noWrap/>
            <w:vAlign w:val="center"/>
            <w:hideMark/>
          </w:tcPr>
          <w:p w14:paraId="3A5CE325"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7.89</w:t>
            </w:r>
          </w:p>
        </w:tc>
        <w:tc>
          <w:tcPr>
            <w:tcW w:w="751" w:type="dxa"/>
            <w:shd w:val="clear" w:color="auto" w:fill="auto"/>
            <w:noWrap/>
            <w:vAlign w:val="center"/>
            <w:hideMark/>
          </w:tcPr>
          <w:p w14:paraId="1882CF9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507</w:t>
            </w:r>
          </w:p>
        </w:tc>
        <w:tc>
          <w:tcPr>
            <w:tcW w:w="747" w:type="dxa"/>
            <w:shd w:val="clear" w:color="auto" w:fill="auto"/>
            <w:noWrap/>
            <w:vAlign w:val="center"/>
            <w:hideMark/>
          </w:tcPr>
          <w:p w14:paraId="6D63BDA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43</w:t>
            </w:r>
          </w:p>
        </w:tc>
        <w:tc>
          <w:tcPr>
            <w:tcW w:w="787" w:type="dxa"/>
            <w:shd w:val="clear" w:color="auto" w:fill="auto"/>
            <w:noWrap/>
            <w:vAlign w:val="center"/>
            <w:hideMark/>
          </w:tcPr>
          <w:p w14:paraId="2670C1E3"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29</w:t>
            </w:r>
          </w:p>
        </w:tc>
        <w:tc>
          <w:tcPr>
            <w:tcW w:w="724" w:type="dxa"/>
            <w:shd w:val="clear" w:color="auto" w:fill="auto"/>
            <w:noWrap/>
            <w:vAlign w:val="center"/>
            <w:hideMark/>
          </w:tcPr>
          <w:p w14:paraId="4ECAD6BD"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37</w:t>
            </w:r>
          </w:p>
        </w:tc>
        <w:tc>
          <w:tcPr>
            <w:tcW w:w="640" w:type="dxa"/>
            <w:shd w:val="clear" w:color="auto" w:fill="auto"/>
            <w:noWrap/>
            <w:vAlign w:val="center"/>
            <w:hideMark/>
          </w:tcPr>
          <w:p w14:paraId="569CF01E"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w:t>
            </w:r>
          </w:p>
        </w:tc>
        <w:tc>
          <w:tcPr>
            <w:tcW w:w="886" w:type="dxa"/>
            <w:shd w:val="clear" w:color="auto" w:fill="auto"/>
            <w:noWrap/>
            <w:vAlign w:val="center"/>
            <w:hideMark/>
          </w:tcPr>
          <w:p w14:paraId="5DB49879"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339</w:t>
            </w:r>
          </w:p>
        </w:tc>
        <w:tc>
          <w:tcPr>
            <w:tcW w:w="678" w:type="dxa"/>
            <w:shd w:val="clear" w:color="auto" w:fill="auto"/>
            <w:noWrap/>
            <w:vAlign w:val="center"/>
            <w:hideMark/>
          </w:tcPr>
          <w:p w14:paraId="744A312C"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8.7</w:t>
            </w:r>
          </w:p>
        </w:tc>
        <w:tc>
          <w:tcPr>
            <w:tcW w:w="581" w:type="dxa"/>
            <w:shd w:val="clear" w:color="auto" w:fill="auto"/>
            <w:noWrap/>
            <w:vAlign w:val="center"/>
            <w:hideMark/>
          </w:tcPr>
          <w:p w14:paraId="5D4D4F4E"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6.4</w:t>
            </w:r>
          </w:p>
        </w:tc>
        <w:tc>
          <w:tcPr>
            <w:tcW w:w="893" w:type="dxa"/>
            <w:shd w:val="clear" w:color="auto" w:fill="auto"/>
            <w:noWrap/>
            <w:vAlign w:val="center"/>
            <w:hideMark/>
          </w:tcPr>
          <w:p w14:paraId="79E859F2" w14:textId="578A074B"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10.71</w:t>
            </w:r>
          </w:p>
        </w:tc>
        <w:tc>
          <w:tcPr>
            <w:tcW w:w="925" w:type="dxa"/>
            <w:shd w:val="clear" w:color="auto" w:fill="auto"/>
            <w:vAlign w:val="center"/>
          </w:tcPr>
          <w:p w14:paraId="61CF875B" w14:textId="62B94CAB"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73.89</w:t>
            </w:r>
          </w:p>
        </w:tc>
      </w:tr>
      <w:tr w:rsidR="00145917" w:rsidRPr="00145917" w14:paraId="52582B4A" w14:textId="77777777" w:rsidTr="00FA0F96">
        <w:trPr>
          <w:jc w:val="center"/>
        </w:trPr>
        <w:tc>
          <w:tcPr>
            <w:tcW w:w="1629" w:type="dxa"/>
            <w:vMerge/>
            <w:shd w:val="clear" w:color="auto" w:fill="auto"/>
            <w:vAlign w:val="center"/>
            <w:hideMark/>
          </w:tcPr>
          <w:p w14:paraId="2216A316"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p>
        </w:tc>
        <w:tc>
          <w:tcPr>
            <w:tcW w:w="831" w:type="dxa"/>
            <w:shd w:val="clear" w:color="auto" w:fill="auto"/>
            <w:noWrap/>
            <w:vAlign w:val="center"/>
            <w:hideMark/>
          </w:tcPr>
          <w:p w14:paraId="597B3D0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37</w:t>
            </w:r>
          </w:p>
        </w:tc>
        <w:tc>
          <w:tcPr>
            <w:tcW w:w="393" w:type="dxa"/>
            <w:shd w:val="clear" w:color="auto" w:fill="auto"/>
            <w:noWrap/>
            <w:vAlign w:val="center"/>
            <w:hideMark/>
          </w:tcPr>
          <w:p w14:paraId="67E25FE2"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7.7</w:t>
            </w:r>
          </w:p>
        </w:tc>
        <w:tc>
          <w:tcPr>
            <w:tcW w:w="751" w:type="dxa"/>
            <w:shd w:val="clear" w:color="auto" w:fill="auto"/>
            <w:noWrap/>
            <w:vAlign w:val="center"/>
            <w:hideMark/>
          </w:tcPr>
          <w:p w14:paraId="72854F78"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667</w:t>
            </w:r>
          </w:p>
        </w:tc>
        <w:tc>
          <w:tcPr>
            <w:tcW w:w="747" w:type="dxa"/>
            <w:shd w:val="clear" w:color="auto" w:fill="auto"/>
            <w:noWrap/>
            <w:vAlign w:val="center"/>
            <w:hideMark/>
          </w:tcPr>
          <w:p w14:paraId="7F469DC9"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51</w:t>
            </w:r>
          </w:p>
        </w:tc>
        <w:tc>
          <w:tcPr>
            <w:tcW w:w="787" w:type="dxa"/>
            <w:shd w:val="clear" w:color="auto" w:fill="auto"/>
            <w:noWrap/>
            <w:vAlign w:val="center"/>
            <w:hideMark/>
          </w:tcPr>
          <w:p w14:paraId="53201723"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30</w:t>
            </w:r>
          </w:p>
        </w:tc>
        <w:tc>
          <w:tcPr>
            <w:tcW w:w="724" w:type="dxa"/>
            <w:shd w:val="clear" w:color="auto" w:fill="auto"/>
            <w:noWrap/>
            <w:vAlign w:val="center"/>
            <w:hideMark/>
          </w:tcPr>
          <w:p w14:paraId="112481F1"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52</w:t>
            </w:r>
          </w:p>
        </w:tc>
        <w:tc>
          <w:tcPr>
            <w:tcW w:w="640" w:type="dxa"/>
            <w:shd w:val="clear" w:color="auto" w:fill="auto"/>
            <w:noWrap/>
            <w:vAlign w:val="center"/>
            <w:hideMark/>
          </w:tcPr>
          <w:p w14:paraId="4099C76D"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5.1</w:t>
            </w:r>
          </w:p>
        </w:tc>
        <w:tc>
          <w:tcPr>
            <w:tcW w:w="886" w:type="dxa"/>
            <w:shd w:val="clear" w:color="auto" w:fill="auto"/>
            <w:noWrap/>
            <w:vAlign w:val="center"/>
            <w:hideMark/>
          </w:tcPr>
          <w:p w14:paraId="6684885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305</w:t>
            </w:r>
          </w:p>
        </w:tc>
        <w:tc>
          <w:tcPr>
            <w:tcW w:w="678" w:type="dxa"/>
            <w:shd w:val="clear" w:color="auto" w:fill="auto"/>
            <w:noWrap/>
            <w:vAlign w:val="center"/>
            <w:hideMark/>
          </w:tcPr>
          <w:p w14:paraId="0570944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43</w:t>
            </w:r>
          </w:p>
        </w:tc>
        <w:tc>
          <w:tcPr>
            <w:tcW w:w="581" w:type="dxa"/>
            <w:shd w:val="clear" w:color="auto" w:fill="auto"/>
            <w:noWrap/>
            <w:vAlign w:val="center"/>
            <w:hideMark/>
          </w:tcPr>
          <w:p w14:paraId="4AF64E79"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53</w:t>
            </w:r>
          </w:p>
        </w:tc>
        <w:tc>
          <w:tcPr>
            <w:tcW w:w="893" w:type="dxa"/>
            <w:shd w:val="clear" w:color="auto" w:fill="auto"/>
            <w:noWrap/>
            <w:vAlign w:val="center"/>
            <w:hideMark/>
          </w:tcPr>
          <w:p w14:paraId="662D6580" w14:textId="37A83744"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10.85</w:t>
            </w:r>
          </w:p>
        </w:tc>
        <w:tc>
          <w:tcPr>
            <w:tcW w:w="925" w:type="dxa"/>
            <w:shd w:val="clear" w:color="auto" w:fill="auto"/>
            <w:vAlign w:val="center"/>
          </w:tcPr>
          <w:p w14:paraId="769BCEC4" w14:textId="49B3424A"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74.62</w:t>
            </w:r>
          </w:p>
        </w:tc>
      </w:tr>
      <w:tr w:rsidR="00145917" w:rsidRPr="00145917" w14:paraId="23962893" w14:textId="77777777" w:rsidTr="00FA0F96">
        <w:trPr>
          <w:jc w:val="center"/>
        </w:trPr>
        <w:tc>
          <w:tcPr>
            <w:tcW w:w="1629" w:type="dxa"/>
            <w:vMerge/>
            <w:shd w:val="clear" w:color="auto" w:fill="auto"/>
            <w:vAlign w:val="center"/>
            <w:hideMark/>
          </w:tcPr>
          <w:p w14:paraId="1B8199EA"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p>
        </w:tc>
        <w:tc>
          <w:tcPr>
            <w:tcW w:w="831" w:type="dxa"/>
            <w:shd w:val="clear" w:color="auto" w:fill="auto"/>
            <w:noWrap/>
            <w:vAlign w:val="center"/>
            <w:hideMark/>
          </w:tcPr>
          <w:p w14:paraId="55FA6C4A"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41</w:t>
            </w:r>
          </w:p>
        </w:tc>
        <w:tc>
          <w:tcPr>
            <w:tcW w:w="393" w:type="dxa"/>
            <w:shd w:val="clear" w:color="auto" w:fill="auto"/>
            <w:noWrap/>
            <w:vAlign w:val="center"/>
            <w:hideMark/>
          </w:tcPr>
          <w:p w14:paraId="03193B43"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7.69</w:t>
            </w:r>
          </w:p>
        </w:tc>
        <w:tc>
          <w:tcPr>
            <w:tcW w:w="751" w:type="dxa"/>
            <w:shd w:val="clear" w:color="auto" w:fill="auto"/>
            <w:noWrap/>
            <w:vAlign w:val="center"/>
            <w:hideMark/>
          </w:tcPr>
          <w:p w14:paraId="7A032DC9"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679</w:t>
            </w:r>
          </w:p>
        </w:tc>
        <w:tc>
          <w:tcPr>
            <w:tcW w:w="747" w:type="dxa"/>
            <w:shd w:val="clear" w:color="auto" w:fill="auto"/>
            <w:noWrap/>
            <w:vAlign w:val="center"/>
            <w:hideMark/>
          </w:tcPr>
          <w:p w14:paraId="67007DEB"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53</w:t>
            </w:r>
          </w:p>
        </w:tc>
        <w:tc>
          <w:tcPr>
            <w:tcW w:w="787" w:type="dxa"/>
            <w:shd w:val="clear" w:color="auto" w:fill="auto"/>
            <w:noWrap/>
            <w:vAlign w:val="center"/>
            <w:hideMark/>
          </w:tcPr>
          <w:p w14:paraId="18EB818E"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30</w:t>
            </w:r>
          </w:p>
        </w:tc>
        <w:tc>
          <w:tcPr>
            <w:tcW w:w="724" w:type="dxa"/>
            <w:shd w:val="clear" w:color="auto" w:fill="auto"/>
            <w:noWrap/>
            <w:vAlign w:val="center"/>
            <w:hideMark/>
          </w:tcPr>
          <w:p w14:paraId="1DD5EE9E"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52</w:t>
            </w:r>
          </w:p>
        </w:tc>
        <w:tc>
          <w:tcPr>
            <w:tcW w:w="640" w:type="dxa"/>
            <w:shd w:val="clear" w:color="auto" w:fill="auto"/>
            <w:noWrap/>
            <w:vAlign w:val="center"/>
            <w:hideMark/>
          </w:tcPr>
          <w:p w14:paraId="332FE88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w:t>
            </w:r>
          </w:p>
        </w:tc>
        <w:tc>
          <w:tcPr>
            <w:tcW w:w="886" w:type="dxa"/>
            <w:shd w:val="clear" w:color="auto" w:fill="auto"/>
            <w:noWrap/>
            <w:vAlign w:val="center"/>
            <w:hideMark/>
          </w:tcPr>
          <w:p w14:paraId="4FF98286"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308</w:t>
            </w:r>
          </w:p>
        </w:tc>
        <w:tc>
          <w:tcPr>
            <w:tcW w:w="678" w:type="dxa"/>
            <w:shd w:val="clear" w:color="auto" w:fill="auto"/>
            <w:noWrap/>
            <w:vAlign w:val="center"/>
            <w:hideMark/>
          </w:tcPr>
          <w:p w14:paraId="321140F2"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46</w:t>
            </w:r>
          </w:p>
        </w:tc>
        <w:tc>
          <w:tcPr>
            <w:tcW w:w="581" w:type="dxa"/>
            <w:shd w:val="clear" w:color="auto" w:fill="auto"/>
            <w:noWrap/>
            <w:vAlign w:val="center"/>
            <w:hideMark/>
          </w:tcPr>
          <w:p w14:paraId="5AF55DD4"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59</w:t>
            </w:r>
          </w:p>
        </w:tc>
        <w:tc>
          <w:tcPr>
            <w:tcW w:w="893" w:type="dxa"/>
            <w:shd w:val="clear" w:color="auto" w:fill="auto"/>
            <w:noWrap/>
            <w:vAlign w:val="center"/>
            <w:hideMark/>
          </w:tcPr>
          <w:p w14:paraId="121D66A9" w14:textId="7540FDE0"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10.88</w:t>
            </w:r>
          </w:p>
        </w:tc>
        <w:tc>
          <w:tcPr>
            <w:tcW w:w="925" w:type="dxa"/>
            <w:shd w:val="clear" w:color="auto" w:fill="auto"/>
            <w:vAlign w:val="center"/>
          </w:tcPr>
          <w:p w14:paraId="0CF8104E" w14:textId="2FB1708D"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74.83</w:t>
            </w:r>
          </w:p>
        </w:tc>
      </w:tr>
      <w:tr w:rsidR="00145917" w:rsidRPr="00145917" w14:paraId="3A3EDE64" w14:textId="77777777" w:rsidTr="00FA0F96">
        <w:trPr>
          <w:jc w:val="center"/>
        </w:trPr>
        <w:tc>
          <w:tcPr>
            <w:tcW w:w="1629" w:type="dxa"/>
            <w:vMerge/>
            <w:shd w:val="clear" w:color="auto" w:fill="auto"/>
            <w:vAlign w:val="center"/>
            <w:hideMark/>
          </w:tcPr>
          <w:p w14:paraId="529F57A2"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p>
        </w:tc>
        <w:tc>
          <w:tcPr>
            <w:tcW w:w="831" w:type="dxa"/>
            <w:shd w:val="clear" w:color="auto" w:fill="auto"/>
            <w:noWrap/>
            <w:vAlign w:val="center"/>
            <w:hideMark/>
          </w:tcPr>
          <w:p w14:paraId="45F1BF96"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47</w:t>
            </w:r>
          </w:p>
        </w:tc>
        <w:tc>
          <w:tcPr>
            <w:tcW w:w="393" w:type="dxa"/>
            <w:shd w:val="clear" w:color="auto" w:fill="auto"/>
            <w:noWrap/>
            <w:vAlign w:val="center"/>
            <w:hideMark/>
          </w:tcPr>
          <w:p w14:paraId="664FC03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7.72</w:t>
            </w:r>
          </w:p>
        </w:tc>
        <w:tc>
          <w:tcPr>
            <w:tcW w:w="751" w:type="dxa"/>
            <w:shd w:val="clear" w:color="auto" w:fill="auto"/>
            <w:noWrap/>
            <w:vAlign w:val="center"/>
            <w:hideMark/>
          </w:tcPr>
          <w:p w14:paraId="1C8F1A2A"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715</w:t>
            </w:r>
          </w:p>
        </w:tc>
        <w:tc>
          <w:tcPr>
            <w:tcW w:w="747" w:type="dxa"/>
            <w:shd w:val="clear" w:color="auto" w:fill="auto"/>
            <w:noWrap/>
            <w:vAlign w:val="center"/>
            <w:hideMark/>
          </w:tcPr>
          <w:p w14:paraId="38EB789A"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55</w:t>
            </w:r>
          </w:p>
        </w:tc>
        <w:tc>
          <w:tcPr>
            <w:tcW w:w="787" w:type="dxa"/>
            <w:shd w:val="clear" w:color="auto" w:fill="auto"/>
            <w:noWrap/>
            <w:vAlign w:val="center"/>
            <w:hideMark/>
          </w:tcPr>
          <w:p w14:paraId="3C7E8064"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32</w:t>
            </w:r>
          </w:p>
        </w:tc>
        <w:tc>
          <w:tcPr>
            <w:tcW w:w="724" w:type="dxa"/>
            <w:shd w:val="clear" w:color="auto" w:fill="auto"/>
            <w:noWrap/>
            <w:vAlign w:val="center"/>
            <w:hideMark/>
          </w:tcPr>
          <w:p w14:paraId="5C104B00"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55</w:t>
            </w:r>
          </w:p>
        </w:tc>
        <w:tc>
          <w:tcPr>
            <w:tcW w:w="640" w:type="dxa"/>
            <w:shd w:val="clear" w:color="auto" w:fill="auto"/>
            <w:noWrap/>
            <w:vAlign w:val="center"/>
            <w:hideMark/>
          </w:tcPr>
          <w:p w14:paraId="781A348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5.3</w:t>
            </w:r>
          </w:p>
        </w:tc>
        <w:tc>
          <w:tcPr>
            <w:tcW w:w="886" w:type="dxa"/>
            <w:shd w:val="clear" w:color="auto" w:fill="auto"/>
            <w:noWrap/>
            <w:vAlign w:val="center"/>
            <w:hideMark/>
          </w:tcPr>
          <w:p w14:paraId="205F51EE"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314</w:t>
            </w:r>
          </w:p>
        </w:tc>
        <w:tc>
          <w:tcPr>
            <w:tcW w:w="678" w:type="dxa"/>
            <w:shd w:val="clear" w:color="auto" w:fill="auto"/>
            <w:noWrap/>
            <w:vAlign w:val="center"/>
            <w:hideMark/>
          </w:tcPr>
          <w:p w14:paraId="03D6D43B"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50</w:t>
            </w:r>
          </w:p>
        </w:tc>
        <w:tc>
          <w:tcPr>
            <w:tcW w:w="581" w:type="dxa"/>
            <w:shd w:val="clear" w:color="auto" w:fill="auto"/>
            <w:noWrap/>
            <w:vAlign w:val="center"/>
            <w:hideMark/>
          </w:tcPr>
          <w:p w14:paraId="63989AD2"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63</w:t>
            </w:r>
          </w:p>
        </w:tc>
        <w:tc>
          <w:tcPr>
            <w:tcW w:w="893" w:type="dxa"/>
            <w:shd w:val="clear" w:color="auto" w:fill="auto"/>
            <w:noWrap/>
            <w:vAlign w:val="center"/>
            <w:hideMark/>
          </w:tcPr>
          <w:p w14:paraId="70785DC0" w14:textId="036279B9"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11.02</w:t>
            </w:r>
          </w:p>
        </w:tc>
        <w:tc>
          <w:tcPr>
            <w:tcW w:w="925" w:type="dxa"/>
            <w:shd w:val="clear" w:color="auto" w:fill="auto"/>
            <w:vAlign w:val="center"/>
          </w:tcPr>
          <w:p w14:paraId="54B18B6E" w14:textId="19A43DD9"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74.74</w:t>
            </w:r>
          </w:p>
        </w:tc>
      </w:tr>
      <w:tr w:rsidR="00145917" w:rsidRPr="00145917" w14:paraId="5C632C5F" w14:textId="77777777" w:rsidTr="00FA0F96">
        <w:trPr>
          <w:jc w:val="center"/>
        </w:trPr>
        <w:tc>
          <w:tcPr>
            <w:tcW w:w="2460" w:type="dxa"/>
            <w:gridSpan w:val="2"/>
            <w:shd w:val="clear" w:color="auto" w:fill="auto"/>
            <w:noWrap/>
            <w:vAlign w:val="center"/>
            <w:hideMark/>
          </w:tcPr>
          <w:p w14:paraId="18E67D98" w14:textId="43FE779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Mixing (calculated from samplers)</w:t>
            </w:r>
          </w:p>
        </w:tc>
        <w:tc>
          <w:tcPr>
            <w:tcW w:w="393" w:type="dxa"/>
            <w:shd w:val="clear" w:color="auto" w:fill="auto"/>
            <w:noWrap/>
            <w:vAlign w:val="center"/>
            <w:hideMark/>
          </w:tcPr>
          <w:p w14:paraId="5D6CECD6"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7.70</w:t>
            </w:r>
          </w:p>
        </w:tc>
        <w:tc>
          <w:tcPr>
            <w:tcW w:w="751" w:type="dxa"/>
            <w:shd w:val="clear" w:color="auto" w:fill="auto"/>
            <w:noWrap/>
            <w:vAlign w:val="center"/>
            <w:hideMark/>
          </w:tcPr>
          <w:p w14:paraId="36C6A58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672</w:t>
            </w:r>
          </w:p>
        </w:tc>
        <w:tc>
          <w:tcPr>
            <w:tcW w:w="747" w:type="dxa"/>
            <w:shd w:val="clear" w:color="auto" w:fill="auto"/>
            <w:noWrap/>
            <w:vAlign w:val="center"/>
            <w:hideMark/>
          </w:tcPr>
          <w:p w14:paraId="7DCA344A"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52</w:t>
            </w:r>
          </w:p>
        </w:tc>
        <w:tc>
          <w:tcPr>
            <w:tcW w:w="787" w:type="dxa"/>
            <w:shd w:val="clear" w:color="auto" w:fill="auto"/>
            <w:noWrap/>
            <w:vAlign w:val="center"/>
            <w:hideMark/>
          </w:tcPr>
          <w:p w14:paraId="5144F6D0"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30</w:t>
            </w:r>
          </w:p>
        </w:tc>
        <w:tc>
          <w:tcPr>
            <w:tcW w:w="724" w:type="dxa"/>
            <w:shd w:val="clear" w:color="auto" w:fill="auto"/>
            <w:noWrap/>
            <w:vAlign w:val="center"/>
            <w:hideMark/>
          </w:tcPr>
          <w:p w14:paraId="5DBD742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52</w:t>
            </w:r>
          </w:p>
        </w:tc>
        <w:tc>
          <w:tcPr>
            <w:tcW w:w="640" w:type="dxa"/>
            <w:shd w:val="clear" w:color="auto" w:fill="auto"/>
            <w:noWrap/>
            <w:vAlign w:val="center"/>
            <w:hideMark/>
          </w:tcPr>
          <w:p w14:paraId="481F1B1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5.1</w:t>
            </w:r>
          </w:p>
        </w:tc>
        <w:tc>
          <w:tcPr>
            <w:tcW w:w="886" w:type="dxa"/>
            <w:shd w:val="clear" w:color="auto" w:fill="auto"/>
            <w:noWrap/>
            <w:vAlign w:val="center"/>
            <w:hideMark/>
          </w:tcPr>
          <w:p w14:paraId="6C604B40"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308</w:t>
            </w:r>
          </w:p>
        </w:tc>
        <w:tc>
          <w:tcPr>
            <w:tcW w:w="678" w:type="dxa"/>
            <w:shd w:val="clear" w:color="auto" w:fill="auto"/>
            <w:noWrap/>
            <w:vAlign w:val="center"/>
            <w:hideMark/>
          </w:tcPr>
          <w:p w14:paraId="4533D208"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44</w:t>
            </w:r>
          </w:p>
        </w:tc>
        <w:tc>
          <w:tcPr>
            <w:tcW w:w="581" w:type="dxa"/>
            <w:shd w:val="clear" w:color="auto" w:fill="auto"/>
            <w:noWrap/>
            <w:vAlign w:val="center"/>
            <w:hideMark/>
          </w:tcPr>
          <w:p w14:paraId="700D5971"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54</w:t>
            </w:r>
          </w:p>
        </w:tc>
        <w:tc>
          <w:tcPr>
            <w:tcW w:w="893" w:type="dxa"/>
            <w:shd w:val="clear" w:color="auto" w:fill="auto"/>
            <w:noWrap/>
            <w:vAlign w:val="center"/>
            <w:hideMark/>
          </w:tcPr>
          <w:p w14:paraId="4B2D2A67" w14:textId="166B6A08"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10.89</w:t>
            </w:r>
          </w:p>
        </w:tc>
        <w:tc>
          <w:tcPr>
            <w:tcW w:w="925" w:type="dxa"/>
            <w:shd w:val="clear" w:color="auto" w:fill="auto"/>
            <w:vAlign w:val="center"/>
          </w:tcPr>
          <w:p w14:paraId="1EC0900E" w14:textId="7C0F92D7"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74.74</w:t>
            </w:r>
          </w:p>
        </w:tc>
      </w:tr>
      <w:tr w:rsidR="00145917" w:rsidRPr="00145917" w14:paraId="35452658" w14:textId="77777777" w:rsidTr="00FA0F96">
        <w:trPr>
          <w:jc w:val="center"/>
        </w:trPr>
        <w:tc>
          <w:tcPr>
            <w:tcW w:w="2460" w:type="dxa"/>
            <w:gridSpan w:val="2"/>
            <w:shd w:val="clear" w:color="auto" w:fill="auto"/>
            <w:noWrap/>
            <w:vAlign w:val="center"/>
            <w:hideMark/>
          </w:tcPr>
          <w:p w14:paraId="63AA16B2"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Pumping’s discharge (sampled)</w:t>
            </w:r>
          </w:p>
        </w:tc>
        <w:tc>
          <w:tcPr>
            <w:tcW w:w="393" w:type="dxa"/>
            <w:shd w:val="clear" w:color="auto" w:fill="auto"/>
            <w:noWrap/>
            <w:vAlign w:val="center"/>
            <w:hideMark/>
          </w:tcPr>
          <w:p w14:paraId="0F3590D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7.65</w:t>
            </w:r>
          </w:p>
        </w:tc>
        <w:tc>
          <w:tcPr>
            <w:tcW w:w="751" w:type="dxa"/>
            <w:shd w:val="clear" w:color="auto" w:fill="auto"/>
            <w:noWrap/>
            <w:vAlign w:val="center"/>
            <w:hideMark/>
          </w:tcPr>
          <w:p w14:paraId="15036533"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612</w:t>
            </w:r>
          </w:p>
        </w:tc>
        <w:tc>
          <w:tcPr>
            <w:tcW w:w="747" w:type="dxa"/>
            <w:shd w:val="clear" w:color="auto" w:fill="auto"/>
            <w:noWrap/>
            <w:vAlign w:val="center"/>
            <w:hideMark/>
          </w:tcPr>
          <w:p w14:paraId="3E4E131E"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50</w:t>
            </w:r>
          </w:p>
        </w:tc>
        <w:tc>
          <w:tcPr>
            <w:tcW w:w="787" w:type="dxa"/>
            <w:shd w:val="clear" w:color="auto" w:fill="auto"/>
            <w:noWrap/>
            <w:vAlign w:val="center"/>
            <w:hideMark/>
          </w:tcPr>
          <w:p w14:paraId="54404B93"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29</w:t>
            </w:r>
          </w:p>
        </w:tc>
        <w:tc>
          <w:tcPr>
            <w:tcW w:w="724" w:type="dxa"/>
            <w:shd w:val="clear" w:color="auto" w:fill="auto"/>
            <w:noWrap/>
            <w:vAlign w:val="center"/>
            <w:hideMark/>
          </w:tcPr>
          <w:p w14:paraId="41A032E6"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51</w:t>
            </w:r>
          </w:p>
        </w:tc>
        <w:tc>
          <w:tcPr>
            <w:tcW w:w="640" w:type="dxa"/>
            <w:shd w:val="clear" w:color="auto" w:fill="auto"/>
            <w:noWrap/>
            <w:vAlign w:val="center"/>
            <w:hideMark/>
          </w:tcPr>
          <w:p w14:paraId="39CD7BFE"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4.9</w:t>
            </w:r>
          </w:p>
        </w:tc>
        <w:tc>
          <w:tcPr>
            <w:tcW w:w="886" w:type="dxa"/>
            <w:shd w:val="clear" w:color="auto" w:fill="auto"/>
            <w:noWrap/>
            <w:vAlign w:val="center"/>
            <w:hideMark/>
          </w:tcPr>
          <w:p w14:paraId="1B1AA255"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307</w:t>
            </w:r>
          </w:p>
        </w:tc>
        <w:tc>
          <w:tcPr>
            <w:tcW w:w="678" w:type="dxa"/>
            <w:shd w:val="clear" w:color="auto" w:fill="auto"/>
            <w:noWrap/>
            <w:vAlign w:val="center"/>
            <w:hideMark/>
          </w:tcPr>
          <w:p w14:paraId="67D24F4C"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42</w:t>
            </w:r>
          </w:p>
        </w:tc>
        <w:tc>
          <w:tcPr>
            <w:tcW w:w="581" w:type="dxa"/>
            <w:shd w:val="clear" w:color="auto" w:fill="auto"/>
            <w:noWrap/>
            <w:vAlign w:val="center"/>
            <w:hideMark/>
          </w:tcPr>
          <w:p w14:paraId="0A390E33"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48</w:t>
            </w:r>
          </w:p>
        </w:tc>
        <w:tc>
          <w:tcPr>
            <w:tcW w:w="893" w:type="dxa"/>
            <w:shd w:val="clear" w:color="auto" w:fill="auto"/>
            <w:noWrap/>
            <w:vAlign w:val="center"/>
            <w:hideMark/>
          </w:tcPr>
          <w:p w14:paraId="49E26A1B" w14:textId="057DA697"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10.89</w:t>
            </w:r>
          </w:p>
        </w:tc>
        <w:tc>
          <w:tcPr>
            <w:tcW w:w="925" w:type="dxa"/>
            <w:shd w:val="clear" w:color="auto" w:fill="auto"/>
            <w:vAlign w:val="center"/>
          </w:tcPr>
          <w:p w14:paraId="0E0D74C3" w14:textId="205D826B" w:rsidR="00D14C99" w:rsidRPr="00145917" w:rsidRDefault="002529A5" w:rsidP="00145917">
            <w:pPr>
              <w:autoSpaceDE w:val="0"/>
              <w:autoSpaceDN w:val="0"/>
              <w:adjustRightInd w:val="0"/>
              <w:snapToGrid w:val="0"/>
              <w:spacing w:line="240" w:lineRule="auto"/>
              <w:jc w:val="center"/>
              <w:rPr>
                <w:rFonts w:eastAsia="Times New Roman"/>
                <w:sz w:val="18"/>
                <w:szCs w:val="14"/>
                <w:lang w:eastAsia="fr-CA"/>
              </w:rPr>
            </w:pPr>
            <w:r w:rsidRPr="00145917">
              <w:rPr>
                <w:rFonts w:eastAsia="Times New Roman"/>
                <w:sz w:val="18"/>
                <w:szCs w:val="14"/>
                <w:lang w:eastAsia="fr-CA"/>
              </w:rPr>
              <w:t>–</w:t>
            </w:r>
            <w:r w:rsidR="00D14C99" w:rsidRPr="00145917">
              <w:rPr>
                <w:rFonts w:eastAsia="Times New Roman"/>
                <w:sz w:val="18"/>
                <w:szCs w:val="14"/>
                <w:lang w:eastAsia="fr-CA"/>
              </w:rPr>
              <w:t>74.95</w:t>
            </w:r>
          </w:p>
        </w:tc>
      </w:tr>
      <w:tr w:rsidR="00145917" w:rsidRPr="00145917" w14:paraId="049663CF" w14:textId="77777777" w:rsidTr="00FA0F96">
        <w:trPr>
          <w:jc w:val="center"/>
        </w:trPr>
        <w:tc>
          <w:tcPr>
            <w:tcW w:w="2460" w:type="dxa"/>
            <w:gridSpan w:val="2"/>
            <w:shd w:val="clear" w:color="auto" w:fill="auto"/>
            <w:noWrap/>
            <w:vAlign w:val="center"/>
            <w:hideMark/>
          </w:tcPr>
          <w:p w14:paraId="38DCDF14"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 error</w:t>
            </w:r>
          </w:p>
        </w:tc>
        <w:tc>
          <w:tcPr>
            <w:tcW w:w="393" w:type="dxa"/>
            <w:shd w:val="clear" w:color="auto" w:fill="auto"/>
            <w:noWrap/>
            <w:vAlign w:val="center"/>
            <w:hideMark/>
          </w:tcPr>
          <w:p w14:paraId="0C66C554" w14:textId="2B8F26B5" w:rsidR="00D14C99" w:rsidRPr="00145917" w:rsidRDefault="002529A5"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w:t>
            </w:r>
            <w:r w:rsidR="00D14C99" w:rsidRPr="00145917">
              <w:rPr>
                <w:rFonts w:eastAsia="Times New Roman"/>
                <w:sz w:val="18"/>
                <w:szCs w:val="14"/>
                <w:lang w:val="en-CA" w:eastAsia="fr-CA"/>
              </w:rPr>
              <w:t>1%</w:t>
            </w:r>
          </w:p>
        </w:tc>
        <w:tc>
          <w:tcPr>
            <w:tcW w:w="751" w:type="dxa"/>
            <w:shd w:val="clear" w:color="auto" w:fill="auto"/>
            <w:noWrap/>
            <w:vAlign w:val="center"/>
            <w:hideMark/>
          </w:tcPr>
          <w:p w14:paraId="5DACF0CB" w14:textId="24066469" w:rsidR="00D14C99" w:rsidRPr="00145917" w:rsidRDefault="002529A5"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w:t>
            </w:r>
            <w:r w:rsidR="00D14C99" w:rsidRPr="00145917">
              <w:rPr>
                <w:rFonts w:eastAsia="Times New Roman"/>
                <w:sz w:val="18"/>
                <w:szCs w:val="14"/>
                <w:lang w:val="en-CA" w:eastAsia="fr-CA"/>
              </w:rPr>
              <w:t>10%</w:t>
            </w:r>
          </w:p>
        </w:tc>
        <w:tc>
          <w:tcPr>
            <w:tcW w:w="747" w:type="dxa"/>
            <w:shd w:val="clear" w:color="auto" w:fill="auto"/>
            <w:noWrap/>
            <w:vAlign w:val="center"/>
            <w:hideMark/>
          </w:tcPr>
          <w:p w14:paraId="4E9E8E50" w14:textId="4C32A0C2" w:rsidR="00D14C99" w:rsidRPr="00145917" w:rsidRDefault="002529A5"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w:t>
            </w:r>
            <w:r w:rsidR="00D14C99" w:rsidRPr="00145917">
              <w:rPr>
                <w:rFonts w:eastAsia="Times New Roman"/>
                <w:sz w:val="18"/>
                <w:szCs w:val="14"/>
                <w:lang w:val="en-CA" w:eastAsia="fr-CA"/>
              </w:rPr>
              <w:t>4%</w:t>
            </w:r>
          </w:p>
        </w:tc>
        <w:tc>
          <w:tcPr>
            <w:tcW w:w="787" w:type="dxa"/>
            <w:shd w:val="clear" w:color="auto" w:fill="auto"/>
            <w:noWrap/>
            <w:vAlign w:val="center"/>
            <w:hideMark/>
          </w:tcPr>
          <w:p w14:paraId="33C6627D" w14:textId="463B5119" w:rsidR="00D14C99" w:rsidRPr="00145917" w:rsidRDefault="002529A5"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w:t>
            </w:r>
            <w:r w:rsidR="00D14C99" w:rsidRPr="00145917">
              <w:rPr>
                <w:rFonts w:eastAsia="Times New Roman"/>
                <w:sz w:val="18"/>
                <w:szCs w:val="14"/>
                <w:lang w:val="en-CA" w:eastAsia="fr-CA"/>
              </w:rPr>
              <w:t>4%</w:t>
            </w:r>
          </w:p>
        </w:tc>
        <w:tc>
          <w:tcPr>
            <w:tcW w:w="724" w:type="dxa"/>
            <w:shd w:val="clear" w:color="auto" w:fill="auto"/>
            <w:noWrap/>
            <w:vAlign w:val="center"/>
            <w:hideMark/>
          </w:tcPr>
          <w:p w14:paraId="5CBD1D91" w14:textId="4515C12F" w:rsidR="00D14C99" w:rsidRPr="00145917" w:rsidRDefault="002529A5"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w:t>
            </w:r>
            <w:r w:rsidR="00D14C99" w:rsidRPr="00145917">
              <w:rPr>
                <w:rFonts w:eastAsia="Times New Roman"/>
                <w:sz w:val="18"/>
                <w:szCs w:val="14"/>
                <w:lang w:val="en-CA" w:eastAsia="fr-CA"/>
              </w:rPr>
              <w:t>2%</w:t>
            </w:r>
          </w:p>
        </w:tc>
        <w:tc>
          <w:tcPr>
            <w:tcW w:w="640" w:type="dxa"/>
            <w:shd w:val="clear" w:color="auto" w:fill="auto"/>
            <w:noWrap/>
            <w:vAlign w:val="center"/>
            <w:hideMark/>
          </w:tcPr>
          <w:p w14:paraId="5E241A71" w14:textId="2FB6D7FF" w:rsidR="00D14C99" w:rsidRPr="00145917" w:rsidRDefault="002529A5"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w:t>
            </w:r>
            <w:r w:rsidR="00D14C99" w:rsidRPr="00145917">
              <w:rPr>
                <w:rFonts w:eastAsia="Times New Roman"/>
                <w:sz w:val="18"/>
                <w:szCs w:val="14"/>
                <w:lang w:val="en-CA" w:eastAsia="fr-CA"/>
              </w:rPr>
              <w:t>4%</w:t>
            </w:r>
          </w:p>
        </w:tc>
        <w:tc>
          <w:tcPr>
            <w:tcW w:w="886" w:type="dxa"/>
            <w:shd w:val="clear" w:color="auto" w:fill="auto"/>
            <w:noWrap/>
            <w:vAlign w:val="center"/>
            <w:hideMark/>
          </w:tcPr>
          <w:p w14:paraId="2A1747EE"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0%</w:t>
            </w:r>
          </w:p>
        </w:tc>
        <w:tc>
          <w:tcPr>
            <w:tcW w:w="678" w:type="dxa"/>
            <w:shd w:val="clear" w:color="auto" w:fill="auto"/>
            <w:noWrap/>
            <w:vAlign w:val="center"/>
            <w:hideMark/>
          </w:tcPr>
          <w:p w14:paraId="5A2F37FF" w14:textId="68A9EECA" w:rsidR="00D14C99" w:rsidRPr="00145917" w:rsidRDefault="002529A5"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w:t>
            </w:r>
            <w:r w:rsidR="00D14C99" w:rsidRPr="00145917">
              <w:rPr>
                <w:rFonts w:eastAsia="Times New Roman"/>
                <w:sz w:val="18"/>
                <w:szCs w:val="14"/>
                <w:lang w:val="en-CA" w:eastAsia="fr-CA"/>
              </w:rPr>
              <w:t>4%</w:t>
            </w:r>
          </w:p>
        </w:tc>
        <w:tc>
          <w:tcPr>
            <w:tcW w:w="581" w:type="dxa"/>
            <w:shd w:val="clear" w:color="auto" w:fill="auto"/>
            <w:noWrap/>
            <w:vAlign w:val="center"/>
            <w:hideMark/>
          </w:tcPr>
          <w:p w14:paraId="608416DD" w14:textId="185E10A3" w:rsidR="00D14C99" w:rsidRPr="00145917" w:rsidRDefault="002529A5"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w:t>
            </w:r>
            <w:r w:rsidR="00D14C99" w:rsidRPr="00145917">
              <w:rPr>
                <w:rFonts w:eastAsia="Times New Roman"/>
                <w:sz w:val="18"/>
                <w:szCs w:val="14"/>
                <w:lang w:val="en-CA" w:eastAsia="fr-CA"/>
              </w:rPr>
              <w:t>14%</w:t>
            </w:r>
          </w:p>
        </w:tc>
        <w:tc>
          <w:tcPr>
            <w:tcW w:w="893" w:type="dxa"/>
            <w:shd w:val="clear" w:color="auto" w:fill="auto"/>
            <w:noWrap/>
            <w:vAlign w:val="center"/>
            <w:hideMark/>
          </w:tcPr>
          <w:p w14:paraId="466E0556" w14:textId="0E114CFB"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0.004</w:t>
            </w:r>
            <w:r w:rsidR="00F039AD" w:rsidRPr="00145917">
              <w:rPr>
                <w:rFonts w:eastAsia="Times New Roman"/>
                <w:sz w:val="18"/>
                <w:szCs w:val="14"/>
                <w:lang w:val="en-CA" w:eastAsia="fr-CA"/>
              </w:rPr>
              <w:t xml:space="preserve"> </w:t>
            </w:r>
            <w:r w:rsidRPr="00145917">
              <w:rPr>
                <w:rFonts w:eastAsia="Times New Roman"/>
                <w:sz w:val="18"/>
                <w:szCs w:val="14"/>
                <w:lang w:val="en-CA" w:eastAsia="fr-CA"/>
              </w:rPr>
              <w:t>‰</w:t>
            </w:r>
          </w:p>
        </w:tc>
        <w:tc>
          <w:tcPr>
            <w:tcW w:w="925" w:type="dxa"/>
            <w:shd w:val="clear" w:color="auto" w:fill="auto"/>
            <w:vAlign w:val="center"/>
          </w:tcPr>
          <w:p w14:paraId="05CF810C" w14:textId="48C2F24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0.21</w:t>
            </w:r>
            <w:r w:rsidR="00F039AD" w:rsidRPr="00145917">
              <w:rPr>
                <w:rFonts w:eastAsia="Times New Roman"/>
                <w:sz w:val="18"/>
                <w:szCs w:val="14"/>
                <w:lang w:val="en-CA" w:eastAsia="fr-CA"/>
              </w:rPr>
              <w:t xml:space="preserve"> </w:t>
            </w:r>
            <w:r w:rsidRPr="00145917">
              <w:rPr>
                <w:rFonts w:eastAsia="Times New Roman"/>
                <w:sz w:val="18"/>
                <w:szCs w:val="14"/>
                <w:lang w:val="en-CA" w:eastAsia="fr-CA"/>
              </w:rPr>
              <w:t>‰</w:t>
            </w:r>
          </w:p>
        </w:tc>
      </w:tr>
      <w:tr w:rsidR="00145917" w:rsidRPr="00145917" w14:paraId="1141D449" w14:textId="77777777" w:rsidTr="00FA0F96">
        <w:trPr>
          <w:jc w:val="center"/>
        </w:trPr>
        <w:tc>
          <w:tcPr>
            <w:tcW w:w="2460" w:type="dxa"/>
            <w:gridSpan w:val="2"/>
            <w:shd w:val="clear" w:color="auto" w:fill="auto"/>
            <w:noWrap/>
            <w:vAlign w:val="center"/>
          </w:tcPr>
          <w:p w14:paraId="187FA364" w14:textId="79D5775D"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val="en-CA" w:eastAsia="fr-CA"/>
              </w:rPr>
              <w:t>Detection threshold/ ±</w:t>
            </w:r>
            <w:r w:rsidR="00F039AD" w:rsidRPr="00145917">
              <w:rPr>
                <w:rFonts w:eastAsia="Times New Roman"/>
                <w:sz w:val="18"/>
                <w:szCs w:val="14"/>
                <w:lang w:val="en-CA" w:eastAsia="fr-CA"/>
              </w:rPr>
              <w:t xml:space="preserve"> </w:t>
            </w:r>
            <w:r w:rsidRPr="00145917">
              <w:rPr>
                <w:rFonts w:eastAsia="Times New Roman"/>
                <w:sz w:val="18"/>
                <w:szCs w:val="14"/>
                <w:lang w:val="en-CA" w:eastAsia="fr-CA"/>
              </w:rPr>
              <w:t>analytical error</w:t>
            </w:r>
          </w:p>
        </w:tc>
        <w:tc>
          <w:tcPr>
            <w:tcW w:w="393" w:type="dxa"/>
            <w:shd w:val="clear" w:color="auto" w:fill="auto"/>
            <w:noWrap/>
            <w:vAlign w:val="center"/>
          </w:tcPr>
          <w:p w14:paraId="73ABE6BA"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eastAsia="fr-CA"/>
              </w:rPr>
              <w:t>±0.1</w:t>
            </w:r>
          </w:p>
        </w:tc>
        <w:tc>
          <w:tcPr>
            <w:tcW w:w="751" w:type="dxa"/>
            <w:shd w:val="clear" w:color="auto" w:fill="auto"/>
            <w:noWrap/>
            <w:vAlign w:val="center"/>
          </w:tcPr>
          <w:p w14:paraId="24BF5EA4"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eastAsia="fr-CA"/>
              </w:rPr>
              <w:t>±5</w:t>
            </w:r>
          </w:p>
        </w:tc>
        <w:tc>
          <w:tcPr>
            <w:tcW w:w="747" w:type="dxa"/>
            <w:shd w:val="clear" w:color="auto" w:fill="auto"/>
            <w:noWrap/>
            <w:vAlign w:val="center"/>
          </w:tcPr>
          <w:p w14:paraId="5C9E70CD"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eastAsia="fr-CA"/>
              </w:rPr>
              <w:t>0.3</w:t>
            </w:r>
          </w:p>
        </w:tc>
        <w:tc>
          <w:tcPr>
            <w:tcW w:w="787" w:type="dxa"/>
            <w:shd w:val="clear" w:color="auto" w:fill="auto"/>
            <w:noWrap/>
            <w:vAlign w:val="center"/>
          </w:tcPr>
          <w:p w14:paraId="455A3D4B"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eastAsia="fr-CA"/>
              </w:rPr>
              <w:t>0.1</w:t>
            </w:r>
          </w:p>
        </w:tc>
        <w:tc>
          <w:tcPr>
            <w:tcW w:w="724" w:type="dxa"/>
            <w:shd w:val="clear" w:color="auto" w:fill="auto"/>
            <w:noWrap/>
            <w:vAlign w:val="center"/>
          </w:tcPr>
          <w:p w14:paraId="31EE3166"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eastAsia="fr-CA"/>
              </w:rPr>
              <w:t>0.1</w:t>
            </w:r>
          </w:p>
        </w:tc>
        <w:tc>
          <w:tcPr>
            <w:tcW w:w="640" w:type="dxa"/>
            <w:shd w:val="clear" w:color="auto" w:fill="auto"/>
            <w:noWrap/>
            <w:vAlign w:val="center"/>
          </w:tcPr>
          <w:p w14:paraId="19E9F704"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eastAsia="fr-CA"/>
              </w:rPr>
              <w:t>0.1</w:t>
            </w:r>
          </w:p>
        </w:tc>
        <w:tc>
          <w:tcPr>
            <w:tcW w:w="886" w:type="dxa"/>
            <w:shd w:val="clear" w:color="auto" w:fill="auto"/>
            <w:noWrap/>
            <w:vAlign w:val="center"/>
          </w:tcPr>
          <w:p w14:paraId="3FB60994"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eastAsia="fr-CA"/>
              </w:rPr>
              <w:t>1</w:t>
            </w:r>
          </w:p>
        </w:tc>
        <w:tc>
          <w:tcPr>
            <w:tcW w:w="678" w:type="dxa"/>
            <w:shd w:val="clear" w:color="auto" w:fill="auto"/>
            <w:noWrap/>
            <w:vAlign w:val="center"/>
          </w:tcPr>
          <w:p w14:paraId="459A444A"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eastAsia="fr-CA"/>
              </w:rPr>
              <w:t>0.05</w:t>
            </w:r>
          </w:p>
        </w:tc>
        <w:tc>
          <w:tcPr>
            <w:tcW w:w="581" w:type="dxa"/>
            <w:shd w:val="clear" w:color="auto" w:fill="auto"/>
            <w:noWrap/>
            <w:vAlign w:val="center"/>
          </w:tcPr>
          <w:p w14:paraId="4A3A9656"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eastAsia="fr-CA"/>
              </w:rPr>
              <w:t>0.5</w:t>
            </w:r>
          </w:p>
        </w:tc>
        <w:tc>
          <w:tcPr>
            <w:tcW w:w="893" w:type="dxa"/>
            <w:shd w:val="clear" w:color="auto" w:fill="auto"/>
            <w:noWrap/>
            <w:vAlign w:val="center"/>
          </w:tcPr>
          <w:p w14:paraId="44A637B6"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eastAsia="fr-CA"/>
              </w:rPr>
              <w:t>±0.05</w:t>
            </w:r>
            <w:r w:rsidRPr="00145917">
              <w:rPr>
                <w:rFonts w:eastAsia="Times New Roman"/>
                <w:sz w:val="18"/>
                <w:szCs w:val="14"/>
                <w:lang w:val="en-CA" w:eastAsia="fr-CA"/>
              </w:rPr>
              <w:t>‰</w:t>
            </w:r>
          </w:p>
        </w:tc>
        <w:tc>
          <w:tcPr>
            <w:tcW w:w="925" w:type="dxa"/>
            <w:shd w:val="clear" w:color="auto" w:fill="auto"/>
            <w:vAlign w:val="center"/>
          </w:tcPr>
          <w:p w14:paraId="37B40C1F" w14:textId="77777777" w:rsidR="00D14C99" w:rsidRPr="00145917" w:rsidRDefault="00D14C99" w:rsidP="00145917">
            <w:pPr>
              <w:autoSpaceDE w:val="0"/>
              <w:autoSpaceDN w:val="0"/>
              <w:adjustRightInd w:val="0"/>
              <w:snapToGrid w:val="0"/>
              <w:spacing w:line="240" w:lineRule="auto"/>
              <w:jc w:val="center"/>
              <w:rPr>
                <w:rFonts w:eastAsia="Times New Roman"/>
                <w:sz w:val="18"/>
                <w:szCs w:val="14"/>
                <w:lang w:val="en-CA" w:eastAsia="fr-CA"/>
              </w:rPr>
            </w:pPr>
            <w:r w:rsidRPr="00145917">
              <w:rPr>
                <w:rFonts w:eastAsia="Times New Roman"/>
                <w:sz w:val="18"/>
                <w:szCs w:val="14"/>
                <w:lang w:eastAsia="fr-CA"/>
              </w:rPr>
              <w:t>±1.5</w:t>
            </w:r>
            <w:r w:rsidRPr="00145917">
              <w:rPr>
                <w:rFonts w:eastAsia="Times New Roman"/>
                <w:sz w:val="18"/>
                <w:szCs w:val="14"/>
                <w:lang w:val="en-CA" w:eastAsia="fr-CA"/>
              </w:rPr>
              <w:t>‰</w:t>
            </w:r>
          </w:p>
        </w:tc>
      </w:tr>
    </w:tbl>
    <w:p w14:paraId="78088DB8" w14:textId="757146D9" w:rsidR="00D14C99" w:rsidRPr="001F31D1" w:rsidRDefault="00D14C99" w:rsidP="00D14C99">
      <w:pPr>
        <w:pStyle w:val="MDPI22heading2"/>
        <w:spacing w:before="240"/>
      </w:pPr>
      <w:r>
        <w:lastRenderedPageBreak/>
        <w:t>4</w:t>
      </w:r>
      <w:r w:rsidRPr="001F31D1">
        <w:t>.</w:t>
      </w:r>
      <w:r>
        <w:t>3</w:t>
      </w:r>
      <w:r w:rsidRPr="001F31D1">
        <w:t xml:space="preserve">. </w:t>
      </w:r>
      <w:r w:rsidRPr="00D14C99">
        <w:t xml:space="preserve">Hydrogeochemistry </w:t>
      </w:r>
      <w:r w:rsidR="00F32F96">
        <w:t>G</w:t>
      </w:r>
      <w:r w:rsidRPr="00D14C99">
        <w:t xml:space="preserve">athered from </w:t>
      </w:r>
      <w:r w:rsidR="00F32F96">
        <w:t>P</w:t>
      </w:r>
      <w:r w:rsidRPr="00D14C99">
        <w:t xml:space="preserve">assive </w:t>
      </w:r>
      <w:r w:rsidR="00F32F96">
        <w:t>S</w:t>
      </w:r>
      <w:r w:rsidRPr="00D14C99">
        <w:t xml:space="preserve">ampling into the </w:t>
      </w:r>
      <w:r w:rsidR="00F32F96">
        <w:t>W</w:t>
      </w:r>
      <w:r w:rsidRPr="00D14C99">
        <w:t>ellbores</w:t>
      </w:r>
    </w:p>
    <w:p w14:paraId="3EEBAEC9" w14:textId="3A8BFBDE" w:rsidR="00D14C99" w:rsidRDefault="00D14C99" w:rsidP="00D14C99">
      <w:pPr>
        <w:pStyle w:val="MDPI23heading3"/>
      </w:pPr>
      <w:r>
        <w:t xml:space="preserve">4.3.1. </w:t>
      </w:r>
      <w:r w:rsidRPr="00D14C99">
        <w:t xml:space="preserve">Major </w:t>
      </w:r>
      <w:r w:rsidR="003E068C">
        <w:t>I</w:t>
      </w:r>
      <w:r w:rsidRPr="00D14C99">
        <w:t xml:space="preserve">ons </w:t>
      </w:r>
      <w:r w:rsidR="003E068C">
        <w:t>C</w:t>
      </w:r>
      <w:r w:rsidRPr="00D14C99">
        <w:t>omposition</w:t>
      </w:r>
    </w:p>
    <w:p w14:paraId="487AE7FF" w14:textId="3A040941" w:rsidR="00D14C99" w:rsidRDefault="00D14C99" w:rsidP="00D14C99">
      <w:pPr>
        <w:pStyle w:val="MDPI31text"/>
      </w:pPr>
      <w:r>
        <w:t>Twenty</w:t>
      </w:r>
      <w:r w:rsidR="000704AF">
        <w:t>-</w:t>
      </w:r>
      <w:r>
        <w:t>nine (29) analyses for major ions are available for the 10 wells sampled</w:t>
      </w:r>
      <w:r w:rsidR="00F039AD">
        <w:t xml:space="preserve"> </w:t>
      </w:r>
      <w:r w:rsidR="009D39F7">
        <w:t xml:space="preserve">(Table </w:t>
      </w:r>
      <w:r w:rsidR="00C33995">
        <w:t>1</w:t>
      </w:r>
      <w:r w:rsidR="009D39F7">
        <w:t>)</w:t>
      </w:r>
      <w:r>
        <w:t>. All the water samples analyzed showed an electro</w:t>
      </w:r>
      <w:r w:rsidR="002529A5">
        <w:t>–</w:t>
      </w:r>
      <w:r>
        <w:t>neutrality of less than 10%. Sample depths ranged from 10 to 98</w:t>
      </w:r>
      <w:r w:rsidR="00F039AD" w:rsidRPr="00F039AD">
        <w:t xml:space="preserve"> </w:t>
      </w:r>
      <w:r>
        <w:t>m (mean 50</w:t>
      </w:r>
      <w:r w:rsidR="00F039AD" w:rsidRPr="00F039AD">
        <w:t xml:space="preserve"> </w:t>
      </w:r>
      <w:r>
        <w:t>m). Water temperatures ranged from 8.0 to 9.9</w:t>
      </w:r>
      <w:r w:rsidR="003E068C">
        <w:t xml:space="preserve"> </w:t>
      </w:r>
      <w:r>
        <w:t>°C (mean 8.5</w:t>
      </w:r>
      <w:r w:rsidR="003E068C">
        <w:t xml:space="preserve"> </w:t>
      </w:r>
      <w:r>
        <w:t>°C), pH values from 6.9 to 8.3 (mean 7.5) and total dissolved solids (TDS) from 236 to 2</w:t>
      </w:r>
      <w:r w:rsidR="00F039AD" w:rsidRPr="00F039AD">
        <w:t xml:space="preserve"> </w:t>
      </w:r>
      <w:r>
        <w:t>556</w:t>
      </w:r>
      <w:r w:rsidR="00F039AD" w:rsidRPr="00F039AD">
        <w:t xml:space="preserve"> </w:t>
      </w:r>
      <w:r>
        <w:t>mg/L (mean 975). Water types are predominantly Ca</w:t>
      </w:r>
      <w:r w:rsidR="002529A5">
        <w:t>–</w:t>
      </w:r>
      <w:r>
        <w:t>HCO</w:t>
      </w:r>
      <w:r w:rsidRPr="00D14C99">
        <w:rPr>
          <w:vertAlign w:val="subscript"/>
        </w:rPr>
        <w:t>3</w:t>
      </w:r>
      <w:r>
        <w:t xml:space="preserve"> (40%), Ca</w:t>
      </w:r>
      <w:r w:rsidR="002529A5">
        <w:t>–</w:t>
      </w:r>
      <w:r>
        <w:t>SO</w:t>
      </w:r>
      <w:r w:rsidRPr="0002527E">
        <w:rPr>
          <w:vertAlign w:val="subscript"/>
        </w:rPr>
        <w:t>4</w:t>
      </w:r>
      <w:r>
        <w:t xml:space="preserve"> (37%), Na</w:t>
      </w:r>
      <w:r w:rsidR="002529A5">
        <w:t>–</w:t>
      </w:r>
      <w:r>
        <w:t>Cl (17%) and Ca</w:t>
      </w:r>
      <w:r w:rsidR="002529A5">
        <w:t>–</w:t>
      </w:r>
      <w:r>
        <w:t>Cl (7%). Although Mg</w:t>
      </w:r>
      <w:r w:rsidRPr="00D14C99">
        <w:rPr>
          <w:vertAlign w:val="superscript"/>
        </w:rPr>
        <w:t>2+</w:t>
      </w:r>
      <w:r>
        <w:t xml:space="preserve"> never appears as the major cation (exception for Chateauguay 21</w:t>
      </w:r>
      <w:r w:rsidR="00F039AD" w:rsidRPr="00F039AD">
        <w:t xml:space="preserve"> </w:t>
      </w:r>
      <w:r>
        <w:t xml:space="preserve">m), it represents at least a quarter of the cationic mineralization in 70% of the samples. Geochemical data table is provided in Table </w:t>
      </w:r>
      <w:r w:rsidR="00C33995">
        <w:t>1</w:t>
      </w:r>
      <w:r>
        <w:t>. Nitrates were analyzed in all groundwater samples, but all the results reported concentrations below the detection limit of 0.02 mg/L</w:t>
      </w:r>
      <w:r w:rsidR="00F039AD" w:rsidRPr="00F039AD">
        <w:t xml:space="preserve"> </w:t>
      </w:r>
      <w:r>
        <w:t>N</w:t>
      </w:r>
      <w:r w:rsidR="002529A5">
        <w:t>–</w:t>
      </w:r>
      <w:r>
        <w:t>NO</w:t>
      </w:r>
      <w:r w:rsidRPr="00D14C99">
        <w:rPr>
          <w:vertAlign w:val="subscript"/>
        </w:rPr>
        <w:t>3</w:t>
      </w:r>
      <w:r>
        <w:t xml:space="preserve">. The results below essentially focus on the weathering of carbonates, as most of the wellbores are installed in carbonate aquifers, and because unconsolidated glacial sediments overlying the </w:t>
      </w:r>
      <w:r w:rsidR="005D7C59">
        <w:t>bed</w:t>
      </w:r>
      <w:r>
        <w:t>rock are widespread and their matrix contains carbonates.</w:t>
      </w:r>
    </w:p>
    <w:p w14:paraId="729D306E" w14:textId="084A0E46" w:rsidR="00D14C99" w:rsidRDefault="00D14C99" w:rsidP="00D14C99">
      <w:pPr>
        <w:pStyle w:val="MDPI31text"/>
      </w:pPr>
      <w:r>
        <w:t xml:space="preserve">Total dissolved solids (TDS) appear generally lower for the shallowest samples in each wellbore, but then do not vary at greater </w:t>
      </w:r>
      <w:r w:rsidRPr="00F32F96">
        <w:t>depths (Figure 10). On th</w:t>
      </w:r>
      <w:r>
        <w:t>e other hand, TDS vary greatly from one well to another. Most elevated salinity is clearly associated with Ca</w:t>
      </w:r>
      <w:r w:rsidR="002529A5">
        <w:t>–</w:t>
      </w:r>
      <w:r>
        <w:t>SO</w:t>
      </w:r>
      <w:r w:rsidRPr="000213F0">
        <w:rPr>
          <w:vertAlign w:val="subscript"/>
        </w:rPr>
        <w:t>4</w:t>
      </w:r>
      <w:r>
        <w:t xml:space="preserve"> water type (Napierville</w:t>
      </w:r>
      <w:r w:rsidR="00F039AD" w:rsidRPr="00F039AD">
        <w:t xml:space="preserve"> </w:t>
      </w:r>
      <w:r>
        <w:t xml:space="preserve">P6 and PO2, Table </w:t>
      </w:r>
      <w:r w:rsidR="00C33995">
        <w:t>1</w:t>
      </w:r>
      <w:r>
        <w:t>), as well as Cl</w:t>
      </w:r>
      <w:r w:rsidR="002529A5">
        <w:rPr>
          <w:vertAlign w:val="superscript"/>
        </w:rPr>
        <w:t>–</w:t>
      </w:r>
      <w:r>
        <w:t xml:space="preserve"> rich water type (deep samples of Abbotsford</w:t>
      </w:r>
      <w:r w:rsidR="00F039AD" w:rsidRPr="00F039AD">
        <w:t xml:space="preserve"> </w:t>
      </w:r>
      <w:r>
        <w:t>PO5). The size of the symbols for each sample in Figure</w:t>
      </w:r>
      <w:r w:rsidR="00F039AD" w:rsidRPr="00F039AD">
        <w:t xml:space="preserve"> </w:t>
      </w:r>
      <w:r>
        <w:t xml:space="preserve">10 is relative to </w:t>
      </w:r>
      <w:r w:rsidR="00D7748C">
        <w:t>the</w:t>
      </w:r>
      <w:r>
        <w:t xml:space="preserve"> depth</w:t>
      </w:r>
      <w:r w:rsidR="00D7748C">
        <w:t>, and</w:t>
      </w:r>
      <w:r w:rsidR="00D7748C">
        <w:rPr>
          <w:noProof/>
        </w:rPr>
        <w:t xml:space="preserve"> </w:t>
      </w:r>
      <w:r w:rsidR="00D7748C">
        <w:t>this symbology</w:t>
      </w:r>
      <w:r>
        <w:t xml:space="preserve"> is also used in Figures 12 to 1</w:t>
      </w:r>
      <w:r w:rsidR="00D7748C">
        <w:t>4</w:t>
      </w:r>
      <w:r>
        <w:t>.</w:t>
      </w:r>
    </w:p>
    <w:p w14:paraId="6ED1C685" w14:textId="2275090E" w:rsidR="00EB6741" w:rsidRPr="00A62080" w:rsidRDefault="00FE5916" w:rsidP="003E068C">
      <w:pPr>
        <w:pStyle w:val="MDPI52figure"/>
        <w:ind w:left="2608"/>
        <w:jc w:val="left"/>
      </w:pPr>
      <w:r>
        <w:rPr>
          <w:noProof/>
        </w:rPr>
        <w:drawing>
          <wp:inline distT="0" distB="0" distL="0" distR="0" wp14:anchorId="4872952D" wp14:editId="3338BB45">
            <wp:extent cx="3893820" cy="2484120"/>
            <wp:effectExtent l="0" t="0" r="0" b="0"/>
            <wp:docPr id="13"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3820" cy="2484120"/>
                    </a:xfrm>
                    <a:prstGeom prst="rect">
                      <a:avLst/>
                    </a:prstGeom>
                    <a:noFill/>
                    <a:ln>
                      <a:noFill/>
                    </a:ln>
                  </pic:spPr>
                </pic:pic>
              </a:graphicData>
            </a:graphic>
          </wp:inline>
        </w:drawing>
      </w:r>
    </w:p>
    <w:p w14:paraId="00B9E118" w14:textId="2F96D8B0" w:rsidR="00EB6741" w:rsidRPr="00A62080" w:rsidRDefault="003E068C" w:rsidP="003E068C">
      <w:pPr>
        <w:pStyle w:val="MDPI51figurecaption"/>
        <w:jc w:val="both"/>
      </w:pPr>
      <w:r w:rsidRPr="003E068C">
        <w:rPr>
          <w:b/>
        </w:rPr>
        <w:t xml:space="preserve">Figure 10. </w:t>
      </w:r>
      <w:r w:rsidR="00EB6741" w:rsidRPr="00A62080">
        <w:t>TDS as a function of depth and lithology (red</w:t>
      </w:r>
      <w:r w:rsidR="002529A5">
        <w:t>–</w:t>
      </w:r>
      <w:r w:rsidR="00EB6741" w:rsidRPr="00A62080">
        <w:t>schist, orange</w:t>
      </w:r>
      <w:r w:rsidR="002529A5">
        <w:t>–</w:t>
      </w:r>
      <w:r w:rsidR="00EB6741" w:rsidRPr="00A62080">
        <w:t>sandstone, green</w:t>
      </w:r>
      <w:r w:rsidR="002529A5">
        <w:t>–</w:t>
      </w:r>
      <w:r w:rsidR="00EB6741" w:rsidRPr="00A62080">
        <w:t>dolomite and blue</w:t>
      </w:r>
      <w:r w:rsidR="002529A5">
        <w:t>–</w:t>
      </w:r>
      <w:r w:rsidR="00EB6741" w:rsidRPr="00A62080">
        <w:t>limestone).</w:t>
      </w:r>
    </w:p>
    <w:p w14:paraId="066C1DB6" w14:textId="77777777" w:rsidR="009D39F7" w:rsidRDefault="009D39F7" w:rsidP="009D39F7">
      <w:pPr>
        <w:pStyle w:val="MDPI51figurecaption"/>
        <w:rPr>
          <w:bCs/>
        </w:rPr>
        <w:sectPr w:rsidR="009D39F7" w:rsidSect="00BF3D29">
          <w:headerReference w:type="even" r:id="rId19"/>
          <w:headerReference w:type="default" r:id="rId20"/>
          <w:footerReference w:type="default" r:id="rId21"/>
          <w:headerReference w:type="first" r:id="rId22"/>
          <w:footerReference w:type="first" r:id="rId23"/>
          <w:type w:val="continuous"/>
          <w:pgSz w:w="11906" w:h="16838" w:code="9"/>
          <w:pgMar w:top="1417" w:right="720" w:bottom="1077" w:left="720" w:header="1020" w:footer="340" w:gutter="0"/>
          <w:pgNumType w:start="1"/>
          <w:cols w:space="425"/>
          <w:titlePg/>
          <w:bidi/>
          <w:docGrid w:type="lines" w:linePitch="326"/>
        </w:sectPr>
      </w:pPr>
    </w:p>
    <w:p w14:paraId="7CBC946C" w14:textId="0754DEF8" w:rsidR="009D39F7" w:rsidRPr="00BD4EB2" w:rsidRDefault="003E068C" w:rsidP="003E068C">
      <w:pPr>
        <w:pStyle w:val="MDPI41tablecaption"/>
        <w:ind w:left="425" w:right="425"/>
        <w:jc w:val="center"/>
      </w:pPr>
      <w:bookmarkStart w:id="12" w:name="_Toc30436809"/>
      <w:r w:rsidRPr="003E068C">
        <w:rPr>
          <w:b/>
        </w:rPr>
        <w:lastRenderedPageBreak/>
        <w:t xml:space="preserve">Table </w:t>
      </w:r>
      <w:r w:rsidR="00C33995">
        <w:rPr>
          <w:b/>
        </w:rPr>
        <w:t>1</w:t>
      </w:r>
      <w:r w:rsidRPr="003E068C">
        <w:rPr>
          <w:b/>
        </w:rPr>
        <w:t>.</w:t>
      </w:r>
      <w:bookmarkEnd w:id="12"/>
      <w:r w:rsidR="009D39F7" w:rsidRPr="00BD4EB2">
        <w:rPr>
          <w:b/>
        </w:rPr>
        <w:t xml:space="preserve"> </w:t>
      </w:r>
      <w:r w:rsidR="009D39F7" w:rsidRPr="00BD4EB2">
        <w:t>Hydrogeochemical data gathered from passive sampling</w:t>
      </w:r>
      <w:r>
        <w:t>.</w:t>
      </w:r>
    </w:p>
    <w:tbl>
      <w:tblPr>
        <w:tblW w:w="14023"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850"/>
        <w:gridCol w:w="930"/>
        <w:gridCol w:w="747"/>
        <w:gridCol w:w="950"/>
        <w:gridCol w:w="567"/>
        <w:gridCol w:w="284"/>
        <w:gridCol w:w="850"/>
        <w:gridCol w:w="1156"/>
        <w:gridCol w:w="838"/>
        <w:gridCol w:w="7"/>
        <w:gridCol w:w="844"/>
        <w:gridCol w:w="7"/>
        <w:gridCol w:w="702"/>
        <w:gridCol w:w="7"/>
        <w:gridCol w:w="630"/>
        <w:gridCol w:w="7"/>
        <w:gridCol w:w="986"/>
        <w:gridCol w:w="7"/>
        <w:gridCol w:w="548"/>
        <w:gridCol w:w="7"/>
        <w:gridCol w:w="492"/>
        <w:gridCol w:w="7"/>
        <w:gridCol w:w="554"/>
        <w:gridCol w:w="7"/>
        <w:gridCol w:w="699"/>
        <w:gridCol w:w="7"/>
        <w:gridCol w:w="721"/>
        <w:gridCol w:w="7"/>
        <w:gridCol w:w="596"/>
        <w:gridCol w:w="9"/>
      </w:tblGrid>
      <w:tr w:rsidR="003E068C" w:rsidRPr="003E068C" w14:paraId="4EAEC627" w14:textId="77777777" w:rsidTr="00C41ABE">
        <w:trPr>
          <w:gridAfter w:val="1"/>
          <w:wAfter w:w="7" w:type="dxa"/>
          <w:jc w:val="center"/>
        </w:trPr>
        <w:tc>
          <w:tcPr>
            <w:tcW w:w="851" w:type="dxa"/>
            <w:shd w:val="clear" w:color="auto" w:fill="auto"/>
            <w:vAlign w:val="center"/>
            <w:hideMark/>
          </w:tcPr>
          <w:p w14:paraId="6996F41C" w14:textId="77777777"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bookmarkStart w:id="13" w:name="_Hlk73040573"/>
            <w:r w:rsidRPr="00B878AA">
              <w:rPr>
                <w:rFonts w:eastAsia="Times New Roman"/>
                <w:b/>
                <w:bCs/>
                <w:sz w:val="16"/>
                <w:szCs w:val="16"/>
                <w:lang w:eastAsia="fr-CA"/>
              </w:rPr>
              <w:t>Lithology</w:t>
            </w:r>
          </w:p>
        </w:tc>
        <w:tc>
          <w:tcPr>
            <w:tcW w:w="931" w:type="dxa"/>
            <w:shd w:val="clear" w:color="auto" w:fill="auto"/>
            <w:vAlign w:val="center"/>
            <w:hideMark/>
          </w:tcPr>
          <w:p w14:paraId="5F1FC032" w14:textId="77777777"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Localization</w:t>
            </w:r>
          </w:p>
        </w:tc>
        <w:tc>
          <w:tcPr>
            <w:tcW w:w="747" w:type="dxa"/>
            <w:shd w:val="clear" w:color="auto" w:fill="auto"/>
            <w:vAlign w:val="center"/>
            <w:hideMark/>
          </w:tcPr>
          <w:p w14:paraId="601D18D3" w14:textId="77777777"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Wellbore</w:t>
            </w:r>
          </w:p>
        </w:tc>
        <w:tc>
          <w:tcPr>
            <w:tcW w:w="950" w:type="dxa"/>
            <w:shd w:val="clear" w:color="auto" w:fill="auto"/>
            <w:vAlign w:val="center"/>
            <w:hideMark/>
          </w:tcPr>
          <w:p w14:paraId="574E4E9D" w14:textId="2D2E6647"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Depth*</w:t>
            </w:r>
            <w:r w:rsidR="00DF6127">
              <w:rPr>
                <w:rFonts w:eastAsia="Times New Roman"/>
                <w:b/>
                <w:bCs/>
                <w:sz w:val="16"/>
                <w:szCs w:val="16"/>
                <w:lang w:eastAsia="fr-CA"/>
              </w:rPr>
              <w:t xml:space="preserve">  </w:t>
            </w:r>
            <w:r w:rsidRPr="00B878AA">
              <w:rPr>
                <w:rFonts w:eastAsia="Times New Roman"/>
                <w:b/>
                <w:bCs/>
                <w:sz w:val="16"/>
                <w:szCs w:val="16"/>
                <w:lang w:eastAsia="fr-CA"/>
              </w:rPr>
              <w:t xml:space="preserve"> (m)</w:t>
            </w:r>
          </w:p>
        </w:tc>
        <w:tc>
          <w:tcPr>
            <w:tcW w:w="567" w:type="dxa"/>
            <w:shd w:val="clear" w:color="auto" w:fill="auto"/>
            <w:vAlign w:val="center"/>
            <w:hideMark/>
          </w:tcPr>
          <w:p w14:paraId="722AAF74" w14:textId="5545D110"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 xml:space="preserve">T </w:t>
            </w:r>
            <w:r w:rsidR="00DF6127">
              <w:rPr>
                <w:rFonts w:eastAsia="Times New Roman"/>
                <w:b/>
                <w:bCs/>
                <w:sz w:val="16"/>
                <w:szCs w:val="16"/>
                <w:lang w:eastAsia="fr-CA"/>
              </w:rPr>
              <w:t xml:space="preserve">  </w:t>
            </w:r>
            <w:r w:rsidRPr="00B878AA">
              <w:rPr>
                <w:rFonts w:eastAsia="Times New Roman"/>
                <w:b/>
                <w:bCs/>
                <w:sz w:val="16"/>
                <w:szCs w:val="16"/>
                <w:lang w:eastAsia="fr-CA"/>
              </w:rPr>
              <w:t>(°C)</w:t>
            </w:r>
          </w:p>
        </w:tc>
        <w:tc>
          <w:tcPr>
            <w:tcW w:w="284" w:type="dxa"/>
            <w:shd w:val="clear" w:color="auto" w:fill="auto"/>
            <w:vAlign w:val="center"/>
            <w:hideMark/>
          </w:tcPr>
          <w:p w14:paraId="6A99EDD9" w14:textId="77777777"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pH</w:t>
            </w:r>
          </w:p>
        </w:tc>
        <w:tc>
          <w:tcPr>
            <w:tcW w:w="850" w:type="dxa"/>
            <w:shd w:val="clear" w:color="auto" w:fill="auto"/>
            <w:vAlign w:val="center"/>
            <w:hideMark/>
          </w:tcPr>
          <w:p w14:paraId="2E468FA6" w14:textId="44F86F2F"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 xml:space="preserve">TDS </w:t>
            </w:r>
            <w:r w:rsidR="00DF6127">
              <w:rPr>
                <w:rFonts w:eastAsia="Times New Roman"/>
                <w:b/>
                <w:bCs/>
                <w:sz w:val="16"/>
                <w:szCs w:val="16"/>
                <w:lang w:eastAsia="fr-CA"/>
              </w:rPr>
              <w:t xml:space="preserve"> </w:t>
            </w:r>
            <w:r w:rsidRPr="00B878AA">
              <w:rPr>
                <w:rFonts w:eastAsia="Times New Roman"/>
                <w:b/>
                <w:bCs/>
                <w:sz w:val="16"/>
                <w:szCs w:val="16"/>
                <w:lang w:eastAsia="fr-CA"/>
              </w:rPr>
              <w:t>mg/L</w:t>
            </w:r>
          </w:p>
        </w:tc>
        <w:tc>
          <w:tcPr>
            <w:tcW w:w="1156" w:type="dxa"/>
            <w:shd w:val="clear" w:color="auto" w:fill="auto"/>
            <w:vAlign w:val="center"/>
            <w:hideMark/>
          </w:tcPr>
          <w:p w14:paraId="6401A9C5" w14:textId="77777777"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Water type</w:t>
            </w:r>
          </w:p>
        </w:tc>
        <w:tc>
          <w:tcPr>
            <w:tcW w:w="838" w:type="dxa"/>
            <w:shd w:val="clear" w:color="auto" w:fill="auto"/>
            <w:vAlign w:val="center"/>
            <w:hideMark/>
          </w:tcPr>
          <w:p w14:paraId="2EDADBEF" w14:textId="068313EC"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Ca</w:t>
            </w:r>
            <w:r w:rsidRPr="00B878AA">
              <w:rPr>
                <w:rFonts w:eastAsia="Times New Roman"/>
                <w:b/>
                <w:bCs/>
                <w:sz w:val="16"/>
                <w:szCs w:val="16"/>
                <w:vertAlign w:val="superscript"/>
                <w:lang w:eastAsia="fr-CA"/>
              </w:rPr>
              <w:t>2+</w:t>
            </w:r>
            <w:r w:rsidRPr="00B878AA">
              <w:rPr>
                <w:rFonts w:eastAsia="Times New Roman"/>
                <w:b/>
                <w:bCs/>
                <w:sz w:val="16"/>
                <w:szCs w:val="16"/>
                <w:lang w:eastAsia="fr-CA"/>
              </w:rPr>
              <w:t xml:space="preserve"> </w:t>
            </w:r>
            <w:r w:rsidR="00DF6127">
              <w:rPr>
                <w:rFonts w:eastAsia="Times New Roman"/>
                <w:b/>
                <w:bCs/>
                <w:sz w:val="16"/>
                <w:szCs w:val="16"/>
                <w:lang w:eastAsia="fr-CA"/>
              </w:rPr>
              <w:t xml:space="preserve">  </w:t>
            </w:r>
            <w:r w:rsidRPr="00B878AA">
              <w:rPr>
                <w:rFonts w:eastAsia="Times New Roman"/>
                <w:b/>
                <w:bCs/>
                <w:sz w:val="16"/>
                <w:szCs w:val="16"/>
                <w:lang w:eastAsia="fr-CA"/>
              </w:rPr>
              <w:t>mg/L</w:t>
            </w:r>
          </w:p>
        </w:tc>
        <w:tc>
          <w:tcPr>
            <w:tcW w:w="851" w:type="dxa"/>
            <w:gridSpan w:val="2"/>
            <w:shd w:val="clear" w:color="auto" w:fill="auto"/>
            <w:vAlign w:val="center"/>
            <w:hideMark/>
          </w:tcPr>
          <w:p w14:paraId="1D3432D9" w14:textId="1EE21AAA"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Mg</w:t>
            </w:r>
            <w:r w:rsidRPr="00B878AA">
              <w:rPr>
                <w:rFonts w:eastAsia="Times New Roman"/>
                <w:b/>
                <w:bCs/>
                <w:sz w:val="16"/>
                <w:szCs w:val="16"/>
                <w:vertAlign w:val="superscript"/>
                <w:lang w:eastAsia="fr-CA"/>
              </w:rPr>
              <w:t>2+</w:t>
            </w:r>
            <w:r w:rsidRPr="00B878AA">
              <w:rPr>
                <w:rFonts w:eastAsia="Times New Roman"/>
                <w:b/>
                <w:bCs/>
                <w:sz w:val="16"/>
                <w:szCs w:val="16"/>
                <w:lang w:eastAsia="fr-CA"/>
              </w:rPr>
              <w:t xml:space="preserve"> </w:t>
            </w:r>
            <w:r w:rsidR="00DF6127">
              <w:rPr>
                <w:rFonts w:eastAsia="Times New Roman"/>
                <w:b/>
                <w:bCs/>
                <w:sz w:val="16"/>
                <w:szCs w:val="16"/>
                <w:lang w:eastAsia="fr-CA"/>
              </w:rPr>
              <w:t xml:space="preserve">  </w:t>
            </w:r>
            <w:r w:rsidRPr="00B878AA">
              <w:rPr>
                <w:rFonts w:eastAsia="Times New Roman"/>
                <w:b/>
                <w:bCs/>
                <w:sz w:val="16"/>
                <w:szCs w:val="16"/>
                <w:lang w:eastAsia="fr-CA"/>
              </w:rPr>
              <w:t>mg/L</w:t>
            </w:r>
          </w:p>
        </w:tc>
        <w:tc>
          <w:tcPr>
            <w:tcW w:w="709" w:type="dxa"/>
            <w:gridSpan w:val="2"/>
            <w:shd w:val="clear" w:color="auto" w:fill="auto"/>
            <w:vAlign w:val="center"/>
            <w:hideMark/>
          </w:tcPr>
          <w:p w14:paraId="768F6C32" w14:textId="2CE4A134"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Na</w:t>
            </w:r>
            <w:r w:rsidRPr="00B878AA">
              <w:rPr>
                <w:rFonts w:eastAsia="Times New Roman"/>
                <w:b/>
                <w:bCs/>
                <w:sz w:val="16"/>
                <w:szCs w:val="16"/>
                <w:vertAlign w:val="superscript"/>
                <w:lang w:eastAsia="fr-CA"/>
              </w:rPr>
              <w:t>+</w:t>
            </w:r>
            <w:r w:rsidRPr="00B878AA">
              <w:rPr>
                <w:rFonts w:eastAsia="Times New Roman"/>
                <w:b/>
                <w:bCs/>
                <w:sz w:val="16"/>
                <w:szCs w:val="16"/>
                <w:lang w:eastAsia="fr-CA"/>
              </w:rPr>
              <w:t xml:space="preserve"> </w:t>
            </w:r>
            <w:r w:rsidR="00DF6127">
              <w:rPr>
                <w:rFonts w:eastAsia="Times New Roman"/>
                <w:b/>
                <w:bCs/>
                <w:sz w:val="16"/>
                <w:szCs w:val="16"/>
                <w:lang w:eastAsia="fr-CA"/>
              </w:rPr>
              <w:t xml:space="preserve"> </w:t>
            </w:r>
            <w:r w:rsidRPr="00B878AA">
              <w:rPr>
                <w:rFonts w:eastAsia="Times New Roman"/>
                <w:b/>
                <w:bCs/>
                <w:sz w:val="16"/>
                <w:szCs w:val="16"/>
                <w:lang w:eastAsia="fr-CA"/>
              </w:rPr>
              <w:t>mg/L</w:t>
            </w:r>
          </w:p>
        </w:tc>
        <w:tc>
          <w:tcPr>
            <w:tcW w:w="637" w:type="dxa"/>
            <w:gridSpan w:val="2"/>
            <w:shd w:val="clear" w:color="auto" w:fill="auto"/>
            <w:vAlign w:val="center"/>
            <w:hideMark/>
          </w:tcPr>
          <w:p w14:paraId="7736B14C" w14:textId="5578A5AA"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K</w:t>
            </w:r>
            <w:r w:rsidRPr="00B878AA">
              <w:rPr>
                <w:rFonts w:eastAsia="Times New Roman"/>
                <w:b/>
                <w:bCs/>
                <w:sz w:val="16"/>
                <w:szCs w:val="16"/>
                <w:vertAlign w:val="superscript"/>
                <w:lang w:eastAsia="fr-CA"/>
              </w:rPr>
              <w:t>+</w:t>
            </w:r>
            <w:r w:rsidR="00DF6127">
              <w:rPr>
                <w:rFonts w:eastAsia="Times New Roman"/>
                <w:b/>
                <w:bCs/>
                <w:sz w:val="16"/>
                <w:szCs w:val="16"/>
                <w:vertAlign w:val="superscript"/>
                <w:lang w:eastAsia="fr-CA"/>
              </w:rPr>
              <w:t xml:space="preserve"> </w:t>
            </w:r>
            <w:r w:rsidRPr="00B878AA">
              <w:rPr>
                <w:rFonts w:eastAsia="Times New Roman"/>
                <w:b/>
                <w:bCs/>
                <w:sz w:val="16"/>
                <w:szCs w:val="16"/>
                <w:lang w:eastAsia="fr-CA"/>
              </w:rPr>
              <w:t xml:space="preserve"> mg/L</w:t>
            </w:r>
          </w:p>
        </w:tc>
        <w:tc>
          <w:tcPr>
            <w:tcW w:w="993" w:type="dxa"/>
            <w:gridSpan w:val="2"/>
            <w:shd w:val="clear" w:color="auto" w:fill="auto"/>
            <w:vAlign w:val="center"/>
            <w:hideMark/>
          </w:tcPr>
          <w:p w14:paraId="083CA99F" w14:textId="55B42CF1" w:rsidR="009D39F7" w:rsidRPr="00B878AA" w:rsidRDefault="009D39F7" w:rsidP="003E068C">
            <w:pPr>
              <w:autoSpaceDE w:val="0"/>
              <w:autoSpaceDN w:val="0"/>
              <w:adjustRightInd w:val="0"/>
              <w:snapToGrid w:val="0"/>
              <w:spacing w:line="240" w:lineRule="auto"/>
              <w:jc w:val="center"/>
              <w:rPr>
                <w:rFonts w:eastAsia="Times New Roman"/>
                <w:b/>
                <w:bCs/>
                <w:sz w:val="16"/>
                <w:szCs w:val="16"/>
                <w:lang w:val="en-CA" w:eastAsia="fr-CA"/>
              </w:rPr>
            </w:pPr>
            <w:r w:rsidRPr="00B878AA">
              <w:rPr>
                <w:rFonts w:eastAsia="Times New Roman"/>
                <w:b/>
                <w:bCs/>
                <w:sz w:val="16"/>
                <w:szCs w:val="16"/>
                <w:lang w:val="en-CA" w:eastAsia="fr-CA"/>
              </w:rPr>
              <w:t>Alk. as HCO</w:t>
            </w:r>
            <w:r w:rsidRPr="00B878AA">
              <w:rPr>
                <w:rFonts w:eastAsia="Times New Roman"/>
                <w:b/>
                <w:bCs/>
                <w:sz w:val="16"/>
                <w:szCs w:val="16"/>
                <w:vertAlign w:val="subscript"/>
                <w:lang w:val="en-CA" w:eastAsia="fr-CA"/>
              </w:rPr>
              <w:t>3</w:t>
            </w:r>
            <w:r w:rsidR="003A42EF" w:rsidRPr="00B878AA">
              <w:rPr>
                <w:rFonts w:eastAsia="Times New Roman"/>
                <w:b/>
                <w:bCs/>
                <w:sz w:val="16"/>
                <w:szCs w:val="16"/>
                <w:vertAlign w:val="superscript"/>
                <w:lang w:val="en-CA" w:eastAsia="fr-CA"/>
              </w:rPr>
              <w:t>–</w:t>
            </w:r>
            <w:r w:rsidRPr="00B878AA">
              <w:rPr>
                <w:rFonts w:eastAsia="Times New Roman"/>
                <w:b/>
                <w:bCs/>
                <w:sz w:val="16"/>
                <w:szCs w:val="16"/>
                <w:lang w:val="en-CA" w:eastAsia="fr-CA"/>
              </w:rPr>
              <w:t>mg/L</w:t>
            </w:r>
          </w:p>
        </w:tc>
        <w:tc>
          <w:tcPr>
            <w:tcW w:w="555" w:type="dxa"/>
            <w:gridSpan w:val="2"/>
            <w:shd w:val="clear" w:color="auto" w:fill="auto"/>
            <w:vAlign w:val="center"/>
            <w:hideMark/>
          </w:tcPr>
          <w:p w14:paraId="1A43F9BA" w14:textId="661FD6DD"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Cl</w:t>
            </w:r>
            <w:r w:rsidR="003A42EF" w:rsidRPr="00B878AA">
              <w:rPr>
                <w:rFonts w:eastAsia="Times New Roman"/>
                <w:b/>
                <w:bCs/>
                <w:sz w:val="16"/>
                <w:szCs w:val="16"/>
                <w:vertAlign w:val="superscript"/>
                <w:lang w:eastAsia="fr-CA"/>
              </w:rPr>
              <w:t>–</w:t>
            </w:r>
            <w:r w:rsidRPr="00B878AA">
              <w:rPr>
                <w:rFonts w:eastAsia="Times New Roman"/>
                <w:b/>
                <w:bCs/>
                <w:sz w:val="16"/>
                <w:szCs w:val="16"/>
                <w:lang w:eastAsia="fr-CA"/>
              </w:rPr>
              <w:t xml:space="preserve"> mg/L</w:t>
            </w:r>
          </w:p>
        </w:tc>
        <w:tc>
          <w:tcPr>
            <w:tcW w:w="499" w:type="dxa"/>
            <w:gridSpan w:val="2"/>
            <w:shd w:val="clear" w:color="auto" w:fill="auto"/>
            <w:vAlign w:val="center"/>
            <w:hideMark/>
          </w:tcPr>
          <w:p w14:paraId="3CD01A8E" w14:textId="2D17FBAC"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SO</w:t>
            </w:r>
            <w:r w:rsidRPr="00B878AA">
              <w:rPr>
                <w:rFonts w:eastAsia="Times New Roman"/>
                <w:b/>
                <w:bCs/>
                <w:sz w:val="16"/>
                <w:szCs w:val="16"/>
                <w:vertAlign w:val="subscript"/>
                <w:lang w:eastAsia="fr-CA"/>
              </w:rPr>
              <w:t>4</w:t>
            </w:r>
            <w:r w:rsidRPr="00B878AA">
              <w:rPr>
                <w:rFonts w:eastAsia="Times New Roman"/>
                <w:b/>
                <w:bCs/>
                <w:sz w:val="16"/>
                <w:szCs w:val="16"/>
                <w:vertAlign w:val="superscript"/>
                <w:lang w:eastAsia="fr-CA"/>
              </w:rPr>
              <w:t>2</w:t>
            </w:r>
            <w:r w:rsidR="008918F8" w:rsidRPr="00B878AA">
              <w:rPr>
                <w:rFonts w:eastAsia="Times New Roman"/>
                <w:b/>
                <w:bCs/>
                <w:sz w:val="16"/>
                <w:szCs w:val="16"/>
                <w:vertAlign w:val="superscript"/>
                <w:lang w:eastAsia="fr-CA"/>
              </w:rPr>
              <w:t xml:space="preserve"> </w:t>
            </w:r>
            <w:r w:rsidR="003A42EF" w:rsidRPr="00B878AA">
              <w:rPr>
                <w:rFonts w:eastAsia="Times New Roman"/>
                <w:b/>
                <w:bCs/>
                <w:sz w:val="16"/>
                <w:szCs w:val="16"/>
                <w:vertAlign w:val="superscript"/>
                <w:lang w:eastAsia="fr-CA"/>
              </w:rPr>
              <w:t>–</w:t>
            </w:r>
            <w:r w:rsidRPr="00B878AA">
              <w:rPr>
                <w:rFonts w:eastAsia="Times New Roman"/>
                <w:b/>
                <w:bCs/>
                <w:sz w:val="16"/>
                <w:szCs w:val="16"/>
                <w:lang w:eastAsia="fr-CA"/>
              </w:rPr>
              <w:t>mg/L</w:t>
            </w:r>
          </w:p>
        </w:tc>
        <w:tc>
          <w:tcPr>
            <w:tcW w:w="561" w:type="dxa"/>
            <w:gridSpan w:val="2"/>
            <w:shd w:val="clear" w:color="auto" w:fill="auto"/>
            <w:vAlign w:val="center"/>
            <w:hideMark/>
          </w:tcPr>
          <w:p w14:paraId="16978617" w14:textId="040B86BB"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sz w:val="16"/>
                <w:szCs w:val="16"/>
                <w:lang w:eastAsia="fr-CA"/>
              </w:rPr>
              <w:t>Na/Cl</w:t>
            </w:r>
            <w:r w:rsidR="008918F8" w:rsidRPr="00B878AA">
              <w:rPr>
                <w:rFonts w:eastAsia="Times New Roman"/>
                <w:b/>
                <w:bCs/>
                <w:sz w:val="16"/>
                <w:szCs w:val="16"/>
                <w:lang w:eastAsia="fr-CA"/>
              </w:rPr>
              <w:t xml:space="preserve"> </w:t>
            </w:r>
            <w:r w:rsidR="00DF6127">
              <w:rPr>
                <w:rFonts w:eastAsia="Times New Roman"/>
                <w:b/>
                <w:bCs/>
                <w:sz w:val="16"/>
                <w:szCs w:val="16"/>
                <w:lang w:eastAsia="fr-CA"/>
              </w:rPr>
              <w:t>(</w:t>
            </w:r>
            <w:r w:rsidRPr="00B878AA">
              <w:rPr>
                <w:rFonts w:eastAsia="Times New Roman"/>
                <w:b/>
                <w:bCs/>
                <w:sz w:val="16"/>
                <w:szCs w:val="16"/>
                <w:lang w:eastAsia="fr-CA"/>
              </w:rPr>
              <w:t>m</w:t>
            </w:r>
            <w:r w:rsidR="00DF6127">
              <w:rPr>
                <w:rFonts w:eastAsia="Times New Roman"/>
                <w:b/>
                <w:bCs/>
                <w:sz w:val="16"/>
                <w:szCs w:val="16"/>
                <w:lang w:eastAsia="fr-CA"/>
              </w:rPr>
              <w:t>olar)</w:t>
            </w:r>
          </w:p>
        </w:tc>
        <w:tc>
          <w:tcPr>
            <w:tcW w:w="706" w:type="dxa"/>
            <w:gridSpan w:val="2"/>
            <w:shd w:val="clear" w:color="auto" w:fill="auto"/>
            <w:vAlign w:val="center"/>
            <w:hideMark/>
          </w:tcPr>
          <w:p w14:paraId="4DFFE54A" w14:textId="77777777"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b/>
                <w:bCs/>
                <w:sz w:val="16"/>
                <w:szCs w:val="16"/>
                <w:lang w:val="en-CA" w:eastAsia="fr-CA"/>
              </w:rPr>
              <w:t>δ</w:t>
            </w:r>
            <w:r w:rsidRPr="00B878AA">
              <w:rPr>
                <w:rFonts w:eastAsia="Times New Roman"/>
                <w:b/>
                <w:bCs/>
                <w:sz w:val="16"/>
                <w:szCs w:val="16"/>
                <w:vertAlign w:val="superscript"/>
                <w:lang w:eastAsia="fr-CA"/>
              </w:rPr>
              <w:t>2</w:t>
            </w:r>
            <w:r w:rsidRPr="00B878AA">
              <w:rPr>
                <w:rFonts w:eastAsia="Times New Roman"/>
                <w:b/>
                <w:bCs/>
                <w:sz w:val="16"/>
                <w:szCs w:val="16"/>
                <w:lang w:eastAsia="fr-CA"/>
              </w:rPr>
              <w:t xml:space="preserve">H </w:t>
            </w:r>
            <w:r w:rsidRPr="00DF6127">
              <w:rPr>
                <w:rFonts w:eastAsia="Times New Roman"/>
                <w:b/>
                <w:bCs/>
                <w:sz w:val="12"/>
                <w:szCs w:val="12"/>
                <w:lang w:eastAsia="fr-CA"/>
              </w:rPr>
              <w:t>‰VSMOW</w:t>
            </w:r>
          </w:p>
        </w:tc>
        <w:tc>
          <w:tcPr>
            <w:tcW w:w="728" w:type="dxa"/>
            <w:gridSpan w:val="2"/>
            <w:shd w:val="clear" w:color="auto" w:fill="auto"/>
            <w:vAlign w:val="center"/>
            <w:hideMark/>
          </w:tcPr>
          <w:p w14:paraId="6D0C25EA" w14:textId="77777777"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b/>
                <w:bCs/>
                <w:sz w:val="16"/>
                <w:szCs w:val="16"/>
                <w:lang w:val="en-CA" w:eastAsia="fr-CA"/>
              </w:rPr>
              <w:t>δ</w:t>
            </w:r>
            <w:r w:rsidRPr="00B878AA">
              <w:rPr>
                <w:rFonts w:eastAsia="Times New Roman"/>
                <w:b/>
                <w:bCs/>
                <w:sz w:val="16"/>
                <w:szCs w:val="16"/>
                <w:vertAlign w:val="superscript"/>
                <w:lang w:eastAsia="fr-CA"/>
              </w:rPr>
              <w:t>18</w:t>
            </w:r>
            <w:r w:rsidRPr="00B878AA">
              <w:rPr>
                <w:rFonts w:eastAsia="Times New Roman"/>
                <w:b/>
                <w:bCs/>
                <w:sz w:val="16"/>
                <w:szCs w:val="16"/>
                <w:lang w:eastAsia="fr-CA"/>
              </w:rPr>
              <w:t>O ‰</w:t>
            </w:r>
            <w:r w:rsidRPr="00DF6127">
              <w:rPr>
                <w:rFonts w:eastAsia="Times New Roman"/>
                <w:b/>
                <w:bCs/>
                <w:sz w:val="12"/>
                <w:szCs w:val="12"/>
                <w:lang w:eastAsia="fr-CA"/>
              </w:rPr>
              <w:t>VSMOW</w:t>
            </w:r>
          </w:p>
        </w:tc>
        <w:tc>
          <w:tcPr>
            <w:tcW w:w="603" w:type="dxa"/>
            <w:gridSpan w:val="2"/>
            <w:shd w:val="clear" w:color="auto" w:fill="auto"/>
            <w:vAlign w:val="center"/>
            <w:hideMark/>
          </w:tcPr>
          <w:p w14:paraId="061780A4" w14:textId="77777777"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b/>
                <w:bCs/>
                <w:sz w:val="16"/>
                <w:szCs w:val="16"/>
                <w:lang w:val="en-CA" w:eastAsia="fr-CA"/>
              </w:rPr>
              <w:t>δ</w:t>
            </w:r>
            <w:r w:rsidRPr="00B878AA">
              <w:rPr>
                <w:rFonts w:eastAsia="Times New Roman"/>
                <w:b/>
                <w:bCs/>
                <w:sz w:val="16"/>
                <w:szCs w:val="16"/>
                <w:vertAlign w:val="superscript"/>
                <w:lang w:eastAsia="fr-CA"/>
              </w:rPr>
              <w:t>13</w:t>
            </w:r>
            <w:r w:rsidRPr="00B878AA">
              <w:rPr>
                <w:rFonts w:eastAsia="Times New Roman"/>
                <w:b/>
                <w:bCs/>
                <w:sz w:val="16"/>
                <w:szCs w:val="16"/>
                <w:lang w:eastAsia="fr-CA"/>
              </w:rPr>
              <w:t>C ‰</w:t>
            </w:r>
            <w:r w:rsidRPr="00DF6127">
              <w:rPr>
                <w:rFonts w:eastAsia="Times New Roman"/>
                <w:b/>
                <w:bCs/>
                <w:sz w:val="12"/>
                <w:szCs w:val="12"/>
                <w:lang w:eastAsia="fr-CA"/>
              </w:rPr>
              <w:t>VPDB</w:t>
            </w:r>
          </w:p>
        </w:tc>
      </w:tr>
      <w:tr w:rsidR="003E068C" w:rsidRPr="003E068C" w14:paraId="405B89B2" w14:textId="77777777" w:rsidTr="00C41ABE">
        <w:trPr>
          <w:gridAfter w:val="1"/>
          <w:wAfter w:w="7" w:type="dxa"/>
          <w:jc w:val="center"/>
        </w:trPr>
        <w:tc>
          <w:tcPr>
            <w:tcW w:w="851" w:type="dxa"/>
            <w:vMerge w:val="restart"/>
            <w:shd w:val="clear" w:color="auto" w:fill="auto"/>
            <w:vAlign w:val="center"/>
            <w:hideMark/>
          </w:tcPr>
          <w:p w14:paraId="21F4B75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Red schist</w:t>
            </w:r>
          </w:p>
        </w:tc>
        <w:tc>
          <w:tcPr>
            <w:tcW w:w="931" w:type="dxa"/>
            <w:vMerge w:val="restart"/>
            <w:shd w:val="clear" w:color="auto" w:fill="auto"/>
            <w:vAlign w:val="center"/>
            <w:hideMark/>
          </w:tcPr>
          <w:p w14:paraId="4429362E" w14:textId="6D8014E5"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Abbotsford</w:t>
            </w:r>
          </w:p>
        </w:tc>
        <w:tc>
          <w:tcPr>
            <w:tcW w:w="747" w:type="dxa"/>
            <w:vMerge w:val="restart"/>
            <w:shd w:val="clear" w:color="auto" w:fill="auto"/>
            <w:noWrap/>
            <w:vAlign w:val="center"/>
            <w:hideMark/>
          </w:tcPr>
          <w:p w14:paraId="7C104C7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PO5</w:t>
            </w:r>
          </w:p>
        </w:tc>
        <w:tc>
          <w:tcPr>
            <w:tcW w:w="950" w:type="dxa"/>
            <w:shd w:val="clear" w:color="auto" w:fill="auto"/>
            <w:noWrap/>
            <w:vAlign w:val="center"/>
            <w:hideMark/>
          </w:tcPr>
          <w:p w14:paraId="18515AB4" w14:textId="77777777" w:rsidR="009D39F7" w:rsidRPr="00B878AA" w:rsidRDefault="009D39F7" w:rsidP="003E068C">
            <w:pPr>
              <w:autoSpaceDE w:val="0"/>
              <w:autoSpaceDN w:val="0"/>
              <w:adjustRightInd w:val="0"/>
              <w:snapToGrid w:val="0"/>
              <w:spacing w:line="240" w:lineRule="auto"/>
              <w:jc w:val="center"/>
              <w:rPr>
                <w:rFonts w:eastAsia="Times New Roman"/>
                <w:b/>
                <w:bCs/>
                <w:color w:val="7F7F7F"/>
                <w:sz w:val="16"/>
                <w:szCs w:val="16"/>
                <w:lang w:eastAsia="fr-CA"/>
              </w:rPr>
            </w:pPr>
            <w:r w:rsidRPr="00B878AA">
              <w:rPr>
                <w:rFonts w:eastAsia="Times New Roman"/>
                <w:b/>
                <w:bCs/>
                <w:color w:val="7F7F7F"/>
                <w:sz w:val="16"/>
                <w:szCs w:val="16"/>
                <w:lang w:eastAsia="fr-CA"/>
              </w:rPr>
              <w:t>10</w:t>
            </w:r>
          </w:p>
        </w:tc>
        <w:tc>
          <w:tcPr>
            <w:tcW w:w="567" w:type="dxa"/>
            <w:shd w:val="clear" w:color="auto" w:fill="auto"/>
            <w:noWrap/>
            <w:vAlign w:val="center"/>
            <w:hideMark/>
          </w:tcPr>
          <w:p w14:paraId="0411622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8.5</w:t>
            </w:r>
          </w:p>
        </w:tc>
        <w:tc>
          <w:tcPr>
            <w:tcW w:w="284" w:type="dxa"/>
            <w:shd w:val="clear" w:color="auto" w:fill="auto"/>
            <w:noWrap/>
            <w:vAlign w:val="center"/>
            <w:hideMark/>
          </w:tcPr>
          <w:p w14:paraId="29EFB6A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8.2</w:t>
            </w:r>
          </w:p>
        </w:tc>
        <w:tc>
          <w:tcPr>
            <w:tcW w:w="850" w:type="dxa"/>
            <w:shd w:val="clear" w:color="auto" w:fill="auto"/>
            <w:noWrap/>
            <w:vAlign w:val="center"/>
          </w:tcPr>
          <w:p w14:paraId="6C3E225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531</w:t>
            </w:r>
          </w:p>
        </w:tc>
        <w:tc>
          <w:tcPr>
            <w:tcW w:w="1156" w:type="dxa"/>
            <w:shd w:val="clear" w:color="auto" w:fill="auto"/>
            <w:noWrap/>
            <w:vAlign w:val="center"/>
            <w:hideMark/>
          </w:tcPr>
          <w:p w14:paraId="26B94EDC" w14:textId="77777777"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Na,Mg – Cl,HCO</w:t>
            </w:r>
            <w:r w:rsidRPr="00A45811">
              <w:rPr>
                <w:rFonts w:eastAsia="Times New Roman"/>
                <w:sz w:val="16"/>
                <w:szCs w:val="16"/>
                <w:vertAlign w:val="subscript"/>
                <w:lang w:eastAsia="fr-CA"/>
              </w:rPr>
              <w:t>3</w:t>
            </w:r>
          </w:p>
        </w:tc>
        <w:tc>
          <w:tcPr>
            <w:tcW w:w="838" w:type="dxa"/>
            <w:shd w:val="clear" w:color="auto" w:fill="auto"/>
            <w:noWrap/>
            <w:vAlign w:val="center"/>
            <w:hideMark/>
          </w:tcPr>
          <w:p w14:paraId="2E13182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27</w:t>
            </w:r>
          </w:p>
        </w:tc>
        <w:tc>
          <w:tcPr>
            <w:tcW w:w="851" w:type="dxa"/>
            <w:gridSpan w:val="2"/>
            <w:shd w:val="clear" w:color="auto" w:fill="auto"/>
            <w:noWrap/>
            <w:vAlign w:val="center"/>
            <w:hideMark/>
          </w:tcPr>
          <w:p w14:paraId="2D93506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29</w:t>
            </w:r>
          </w:p>
        </w:tc>
        <w:tc>
          <w:tcPr>
            <w:tcW w:w="709" w:type="dxa"/>
            <w:gridSpan w:val="2"/>
            <w:shd w:val="clear" w:color="auto" w:fill="auto"/>
            <w:noWrap/>
            <w:vAlign w:val="center"/>
            <w:hideMark/>
          </w:tcPr>
          <w:p w14:paraId="0780B2B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110</w:t>
            </w:r>
          </w:p>
        </w:tc>
        <w:tc>
          <w:tcPr>
            <w:tcW w:w="637" w:type="dxa"/>
            <w:gridSpan w:val="2"/>
            <w:shd w:val="clear" w:color="auto" w:fill="auto"/>
            <w:noWrap/>
            <w:vAlign w:val="center"/>
            <w:hideMark/>
          </w:tcPr>
          <w:p w14:paraId="6F55303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3.1</w:t>
            </w:r>
          </w:p>
        </w:tc>
        <w:tc>
          <w:tcPr>
            <w:tcW w:w="993" w:type="dxa"/>
            <w:gridSpan w:val="2"/>
            <w:shd w:val="clear" w:color="auto" w:fill="auto"/>
            <w:noWrap/>
            <w:vAlign w:val="center"/>
            <w:hideMark/>
          </w:tcPr>
          <w:p w14:paraId="32283D2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181</w:t>
            </w:r>
          </w:p>
        </w:tc>
        <w:tc>
          <w:tcPr>
            <w:tcW w:w="555" w:type="dxa"/>
            <w:gridSpan w:val="2"/>
            <w:shd w:val="clear" w:color="auto" w:fill="auto"/>
            <w:noWrap/>
            <w:vAlign w:val="center"/>
            <w:hideMark/>
          </w:tcPr>
          <w:p w14:paraId="4CBE9C1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150</w:t>
            </w:r>
          </w:p>
        </w:tc>
        <w:tc>
          <w:tcPr>
            <w:tcW w:w="499" w:type="dxa"/>
            <w:gridSpan w:val="2"/>
            <w:shd w:val="clear" w:color="auto" w:fill="auto"/>
            <w:noWrap/>
            <w:vAlign w:val="center"/>
            <w:hideMark/>
          </w:tcPr>
          <w:p w14:paraId="47761A0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31</w:t>
            </w:r>
          </w:p>
        </w:tc>
        <w:tc>
          <w:tcPr>
            <w:tcW w:w="561" w:type="dxa"/>
            <w:gridSpan w:val="2"/>
            <w:shd w:val="clear" w:color="auto" w:fill="auto"/>
            <w:noWrap/>
            <w:vAlign w:val="center"/>
          </w:tcPr>
          <w:p w14:paraId="18D1874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1.1</w:t>
            </w:r>
          </w:p>
        </w:tc>
        <w:tc>
          <w:tcPr>
            <w:tcW w:w="706" w:type="dxa"/>
            <w:gridSpan w:val="2"/>
            <w:shd w:val="clear" w:color="auto" w:fill="auto"/>
            <w:noWrap/>
            <w:vAlign w:val="center"/>
          </w:tcPr>
          <w:p w14:paraId="393FE851" w14:textId="377F8666"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78.18</w:t>
            </w:r>
          </w:p>
        </w:tc>
        <w:tc>
          <w:tcPr>
            <w:tcW w:w="728" w:type="dxa"/>
            <w:gridSpan w:val="2"/>
            <w:shd w:val="clear" w:color="auto" w:fill="auto"/>
            <w:noWrap/>
            <w:vAlign w:val="center"/>
          </w:tcPr>
          <w:p w14:paraId="63C03B5F" w14:textId="55030D0B"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11.31</w:t>
            </w:r>
          </w:p>
        </w:tc>
        <w:tc>
          <w:tcPr>
            <w:tcW w:w="603" w:type="dxa"/>
            <w:gridSpan w:val="2"/>
            <w:shd w:val="clear" w:color="auto" w:fill="auto"/>
            <w:noWrap/>
            <w:vAlign w:val="center"/>
          </w:tcPr>
          <w:p w14:paraId="60B2A472" w14:textId="214432BE" w:rsidR="009D39F7" w:rsidRPr="00B878AA" w:rsidRDefault="00F039AD"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 xml:space="preserve"> </w:t>
            </w:r>
          </w:p>
        </w:tc>
      </w:tr>
      <w:tr w:rsidR="003E068C" w:rsidRPr="003E068C" w14:paraId="4292BD2B" w14:textId="77777777" w:rsidTr="00C41ABE">
        <w:trPr>
          <w:gridAfter w:val="1"/>
          <w:wAfter w:w="7" w:type="dxa"/>
          <w:jc w:val="center"/>
        </w:trPr>
        <w:tc>
          <w:tcPr>
            <w:tcW w:w="851" w:type="dxa"/>
            <w:vMerge/>
            <w:shd w:val="clear" w:color="auto" w:fill="auto"/>
            <w:vAlign w:val="center"/>
            <w:hideMark/>
          </w:tcPr>
          <w:p w14:paraId="12BE5B2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2BBC2A8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6CB7854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5781F77F" w14:textId="77777777" w:rsidR="009D39F7" w:rsidRPr="00B878AA" w:rsidRDefault="009D39F7" w:rsidP="003E068C">
            <w:pPr>
              <w:autoSpaceDE w:val="0"/>
              <w:autoSpaceDN w:val="0"/>
              <w:adjustRightInd w:val="0"/>
              <w:snapToGrid w:val="0"/>
              <w:spacing w:line="240" w:lineRule="auto"/>
              <w:jc w:val="center"/>
              <w:rPr>
                <w:rFonts w:eastAsia="Times New Roman"/>
                <w:b/>
                <w:bCs/>
                <w:color w:val="7F7F7F"/>
                <w:sz w:val="16"/>
                <w:szCs w:val="16"/>
                <w:lang w:eastAsia="fr-CA"/>
              </w:rPr>
            </w:pPr>
            <w:r w:rsidRPr="00B878AA">
              <w:rPr>
                <w:rFonts w:eastAsia="Times New Roman"/>
                <w:b/>
                <w:bCs/>
                <w:color w:val="7F7F7F"/>
                <w:sz w:val="16"/>
                <w:szCs w:val="16"/>
                <w:lang w:eastAsia="fr-CA"/>
              </w:rPr>
              <w:t>40</w:t>
            </w:r>
          </w:p>
        </w:tc>
        <w:tc>
          <w:tcPr>
            <w:tcW w:w="567" w:type="dxa"/>
            <w:shd w:val="clear" w:color="auto" w:fill="auto"/>
            <w:noWrap/>
            <w:vAlign w:val="center"/>
            <w:hideMark/>
          </w:tcPr>
          <w:p w14:paraId="3000AE3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8.4</w:t>
            </w:r>
          </w:p>
        </w:tc>
        <w:tc>
          <w:tcPr>
            <w:tcW w:w="284" w:type="dxa"/>
            <w:shd w:val="clear" w:color="auto" w:fill="auto"/>
            <w:noWrap/>
            <w:vAlign w:val="center"/>
            <w:hideMark/>
          </w:tcPr>
          <w:p w14:paraId="252816C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8.3</w:t>
            </w:r>
          </w:p>
        </w:tc>
        <w:tc>
          <w:tcPr>
            <w:tcW w:w="850" w:type="dxa"/>
            <w:shd w:val="clear" w:color="auto" w:fill="auto"/>
            <w:noWrap/>
            <w:vAlign w:val="center"/>
          </w:tcPr>
          <w:p w14:paraId="0DFD820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515</w:t>
            </w:r>
          </w:p>
        </w:tc>
        <w:tc>
          <w:tcPr>
            <w:tcW w:w="1156" w:type="dxa"/>
            <w:shd w:val="clear" w:color="auto" w:fill="auto"/>
            <w:noWrap/>
            <w:vAlign w:val="center"/>
            <w:hideMark/>
          </w:tcPr>
          <w:p w14:paraId="5171AB1E" w14:textId="77777777"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Na,Mg – Cl,HCO</w:t>
            </w:r>
            <w:r w:rsidRPr="00A45811">
              <w:rPr>
                <w:rFonts w:eastAsia="Times New Roman"/>
                <w:sz w:val="16"/>
                <w:szCs w:val="16"/>
                <w:vertAlign w:val="subscript"/>
                <w:lang w:eastAsia="fr-CA"/>
              </w:rPr>
              <w:t>3</w:t>
            </w:r>
          </w:p>
        </w:tc>
        <w:tc>
          <w:tcPr>
            <w:tcW w:w="838" w:type="dxa"/>
            <w:shd w:val="clear" w:color="auto" w:fill="auto"/>
            <w:noWrap/>
            <w:vAlign w:val="center"/>
            <w:hideMark/>
          </w:tcPr>
          <w:p w14:paraId="10BE8BA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26</w:t>
            </w:r>
          </w:p>
        </w:tc>
        <w:tc>
          <w:tcPr>
            <w:tcW w:w="851" w:type="dxa"/>
            <w:gridSpan w:val="2"/>
            <w:shd w:val="clear" w:color="auto" w:fill="auto"/>
            <w:noWrap/>
            <w:vAlign w:val="center"/>
            <w:hideMark/>
          </w:tcPr>
          <w:p w14:paraId="7900FCE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30</w:t>
            </w:r>
          </w:p>
        </w:tc>
        <w:tc>
          <w:tcPr>
            <w:tcW w:w="709" w:type="dxa"/>
            <w:gridSpan w:val="2"/>
            <w:shd w:val="clear" w:color="auto" w:fill="auto"/>
            <w:noWrap/>
            <w:vAlign w:val="center"/>
            <w:hideMark/>
          </w:tcPr>
          <w:p w14:paraId="35F4203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120</w:t>
            </w:r>
          </w:p>
        </w:tc>
        <w:tc>
          <w:tcPr>
            <w:tcW w:w="637" w:type="dxa"/>
            <w:gridSpan w:val="2"/>
            <w:shd w:val="clear" w:color="auto" w:fill="auto"/>
            <w:noWrap/>
            <w:vAlign w:val="center"/>
            <w:hideMark/>
          </w:tcPr>
          <w:p w14:paraId="7183904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0.3</w:t>
            </w:r>
          </w:p>
        </w:tc>
        <w:tc>
          <w:tcPr>
            <w:tcW w:w="993" w:type="dxa"/>
            <w:gridSpan w:val="2"/>
            <w:shd w:val="clear" w:color="auto" w:fill="auto"/>
            <w:noWrap/>
            <w:vAlign w:val="center"/>
            <w:hideMark/>
          </w:tcPr>
          <w:p w14:paraId="5F43C30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157</w:t>
            </w:r>
          </w:p>
        </w:tc>
        <w:tc>
          <w:tcPr>
            <w:tcW w:w="555" w:type="dxa"/>
            <w:gridSpan w:val="2"/>
            <w:shd w:val="clear" w:color="auto" w:fill="auto"/>
            <w:noWrap/>
            <w:vAlign w:val="center"/>
            <w:hideMark/>
          </w:tcPr>
          <w:p w14:paraId="459D8A2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150</w:t>
            </w:r>
          </w:p>
        </w:tc>
        <w:tc>
          <w:tcPr>
            <w:tcW w:w="499" w:type="dxa"/>
            <w:gridSpan w:val="2"/>
            <w:shd w:val="clear" w:color="auto" w:fill="auto"/>
            <w:noWrap/>
            <w:vAlign w:val="center"/>
            <w:hideMark/>
          </w:tcPr>
          <w:p w14:paraId="47C902B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32</w:t>
            </w:r>
          </w:p>
        </w:tc>
        <w:tc>
          <w:tcPr>
            <w:tcW w:w="561" w:type="dxa"/>
            <w:gridSpan w:val="2"/>
            <w:shd w:val="clear" w:color="auto" w:fill="auto"/>
            <w:noWrap/>
            <w:vAlign w:val="center"/>
          </w:tcPr>
          <w:p w14:paraId="057AAB9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1.2</w:t>
            </w:r>
          </w:p>
        </w:tc>
        <w:tc>
          <w:tcPr>
            <w:tcW w:w="706" w:type="dxa"/>
            <w:gridSpan w:val="2"/>
            <w:shd w:val="clear" w:color="auto" w:fill="auto"/>
            <w:noWrap/>
            <w:vAlign w:val="center"/>
          </w:tcPr>
          <w:p w14:paraId="4E1633D2" w14:textId="4A2C5132"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78.16</w:t>
            </w:r>
          </w:p>
        </w:tc>
        <w:tc>
          <w:tcPr>
            <w:tcW w:w="728" w:type="dxa"/>
            <w:gridSpan w:val="2"/>
            <w:shd w:val="clear" w:color="auto" w:fill="auto"/>
            <w:noWrap/>
            <w:vAlign w:val="center"/>
          </w:tcPr>
          <w:p w14:paraId="44CEE950" w14:textId="5CFF27AB"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11.32</w:t>
            </w:r>
          </w:p>
        </w:tc>
        <w:tc>
          <w:tcPr>
            <w:tcW w:w="603" w:type="dxa"/>
            <w:gridSpan w:val="2"/>
            <w:shd w:val="clear" w:color="auto" w:fill="auto"/>
            <w:noWrap/>
            <w:vAlign w:val="center"/>
          </w:tcPr>
          <w:p w14:paraId="50D97CB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r>
      <w:tr w:rsidR="003E068C" w:rsidRPr="003E068C" w14:paraId="0A56ECFF" w14:textId="77777777" w:rsidTr="00C41ABE">
        <w:trPr>
          <w:gridAfter w:val="1"/>
          <w:wAfter w:w="7" w:type="dxa"/>
          <w:jc w:val="center"/>
        </w:trPr>
        <w:tc>
          <w:tcPr>
            <w:tcW w:w="851" w:type="dxa"/>
            <w:vMerge/>
            <w:shd w:val="clear" w:color="auto" w:fill="auto"/>
            <w:vAlign w:val="center"/>
            <w:hideMark/>
          </w:tcPr>
          <w:p w14:paraId="126FED0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6AE5915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0405A85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68182DFB" w14:textId="77777777" w:rsidR="009D39F7" w:rsidRPr="00B878AA" w:rsidRDefault="009D39F7" w:rsidP="003E068C">
            <w:pPr>
              <w:autoSpaceDE w:val="0"/>
              <w:autoSpaceDN w:val="0"/>
              <w:adjustRightInd w:val="0"/>
              <w:snapToGrid w:val="0"/>
              <w:spacing w:line="240" w:lineRule="auto"/>
              <w:jc w:val="center"/>
              <w:rPr>
                <w:rFonts w:eastAsia="Times New Roman"/>
                <w:b/>
                <w:bCs/>
                <w:color w:val="7F7F7F"/>
                <w:sz w:val="16"/>
                <w:szCs w:val="16"/>
                <w:lang w:eastAsia="fr-CA"/>
              </w:rPr>
            </w:pPr>
            <w:r w:rsidRPr="00B878AA">
              <w:rPr>
                <w:rFonts w:eastAsia="Times New Roman"/>
                <w:b/>
                <w:bCs/>
                <w:color w:val="7F7F7F"/>
                <w:sz w:val="16"/>
                <w:szCs w:val="16"/>
                <w:lang w:eastAsia="fr-CA"/>
              </w:rPr>
              <w:t>75</w:t>
            </w:r>
          </w:p>
        </w:tc>
        <w:tc>
          <w:tcPr>
            <w:tcW w:w="567" w:type="dxa"/>
            <w:shd w:val="clear" w:color="auto" w:fill="auto"/>
            <w:noWrap/>
            <w:vAlign w:val="center"/>
            <w:hideMark/>
          </w:tcPr>
          <w:p w14:paraId="02A8D34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8.4</w:t>
            </w:r>
          </w:p>
        </w:tc>
        <w:tc>
          <w:tcPr>
            <w:tcW w:w="284" w:type="dxa"/>
            <w:shd w:val="clear" w:color="auto" w:fill="auto"/>
            <w:noWrap/>
            <w:vAlign w:val="center"/>
            <w:hideMark/>
          </w:tcPr>
          <w:p w14:paraId="21BCE24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8.1</w:t>
            </w:r>
          </w:p>
        </w:tc>
        <w:tc>
          <w:tcPr>
            <w:tcW w:w="850" w:type="dxa"/>
            <w:shd w:val="clear" w:color="auto" w:fill="auto"/>
            <w:noWrap/>
            <w:vAlign w:val="center"/>
          </w:tcPr>
          <w:p w14:paraId="664218E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1589</w:t>
            </w:r>
          </w:p>
        </w:tc>
        <w:tc>
          <w:tcPr>
            <w:tcW w:w="1156" w:type="dxa"/>
            <w:shd w:val="clear" w:color="auto" w:fill="auto"/>
            <w:noWrap/>
            <w:vAlign w:val="center"/>
            <w:hideMark/>
          </w:tcPr>
          <w:p w14:paraId="10C18B71" w14:textId="2CD4B0EF"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Na,Mg </w:t>
            </w:r>
            <w:r w:rsidR="002529A5" w:rsidRPr="00A45811">
              <w:rPr>
                <w:rFonts w:eastAsia="Times New Roman"/>
                <w:sz w:val="16"/>
                <w:szCs w:val="16"/>
                <w:lang w:eastAsia="fr-CA"/>
              </w:rPr>
              <w:t>–</w:t>
            </w:r>
            <w:r w:rsidRPr="00A45811">
              <w:rPr>
                <w:rFonts w:eastAsia="Times New Roman"/>
                <w:sz w:val="16"/>
                <w:szCs w:val="16"/>
                <w:lang w:eastAsia="fr-CA"/>
              </w:rPr>
              <w:t xml:space="preserve"> Cl</w:t>
            </w:r>
          </w:p>
        </w:tc>
        <w:tc>
          <w:tcPr>
            <w:tcW w:w="838" w:type="dxa"/>
            <w:shd w:val="clear" w:color="auto" w:fill="auto"/>
            <w:noWrap/>
            <w:vAlign w:val="center"/>
            <w:hideMark/>
          </w:tcPr>
          <w:p w14:paraId="6C0F32C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120</w:t>
            </w:r>
          </w:p>
        </w:tc>
        <w:tc>
          <w:tcPr>
            <w:tcW w:w="851" w:type="dxa"/>
            <w:gridSpan w:val="2"/>
            <w:shd w:val="clear" w:color="auto" w:fill="auto"/>
            <w:noWrap/>
            <w:vAlign w:val="center"/>
            <w:hideMark/>
          </w:tcPr>
          <w:p w14:paraId="1E1B2BF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120</w:t>
            </w:r>
          </w:p>
        </w:tc>
        <w:tc>
          <w:tcPr>
            <w:tcW w:w="709" w:type="dxa"/>
            <w:gridSpan w:val="2"/>
            <w:shd w:val="clear" w:color="auto" w:fill="auto"/>
            <w:noWrap/>
            <w:vAlign w:val="center"/>
            <w:hideMark/>
          </w:tcPr>
          <w:p w14:paraId="1372ADB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330</w:t>
            </w:r>
          </w:p>
        </w:tc>
        <w:tc>
          <w:tcPr>
            <w:tcW w:w="637" w:type="dxa"/>
            <w:gridSpan w:val="2"/>
            <w:shd w:val="clear" w:color="auto" w:fill="auto"/>
            <w:noWrap/>
            <w:vAlign w:val="center"/>
            <w:hideMark/>
          </w:tcPr>
          <w:p w14:paraId="317F69E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0.6</w:t>
            </w:r>
          </w:p>
        </w:tc>
        <w:tc>
          <w:tcPr>
            <w:tcW w:w="993" w:type="dxa"/>
            <w:gridSpan w:val="2"/>
            <w:shd w:val="clear" w:color="auto" w:fill="auto"/>
            <w:noWrap/>
            <w:vAlign w:val="center"/>
            <w:hideMark/>
          </w:tcPr>
          <w:p w14:paraId="000D7DC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99</w:t>
            </w:r>
          </w:p>
        </w:tc>
        <w:tc>
          <w:tcPr>
            <w:tcW w:w="555" w:type="dxa"/>
            <w:gridSpan w:val="2"/>
            <w:shd w:val="clear" w:color="auto" w:fill="auto"/>
            <w:noWrap/>
            <w:vAlign w:val="center"/>
            <w:hideMark/>
          </w:tcPr>
          <w:p w14:paraId="209F3F7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910</w:t>
            </w:r>
          </w:p>
        </w:tc>
        <w:tc>
          <w:tcPr>
            <w:tcW w:w="499" w:type="dxa"/>
            <w:gridSpan w:val="2"/>
            <w:shd w:val="clear" w:color="auto" w:fill="auto"/>
            <w:noWrap/>
            <w:vAlign w:val="center"/>
            <w:hideMark/>
          </w:tcPr>
          <w:p w14:paraId="1852A1F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w:t>
            </w:r>
          </w:p>
        </w:tc>
        <w:tc>
          <w:tcPr>
            <w:tcW w:w="561" w:type="dxa"/>
            <w:gridSpan w:val="2"/>
            <w:shd w:val="clear" w:color="auto" w:fill="auto"/>
            <w:noWrap/>
            <w:vAlign w:val="center"/>
          </w:tcPr>
          <w:p w14:paraId="351C006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0.6</w:t>
            </w:r>
          </w:p>
        </w:tc>
        <w:tc>
          <w:tcPr>
            <w:tcW w:w="706" w:type="dxa"/>
            <w:gridSpan w:val="2"/>
            <w:shd w:val="clear" w:color="auto" w:fill="auto"/>
            <w:noWrap/>
            <w:vAlign w:val="center"/>
          </w:tcPr>
          <w:p w14:paraId="0E49604B" w14:textId="3DB380CB"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84.85</w:t>
            </w:r>
          </w:p>
        </w:tc>
        <w:tc>
          <w:tcPr>
            <w:tcW w:w="728" w:type="dxa"/>
            <w:gridSpan w:val="2"/>
            <w:shd w:val="clear" w:color="auto" w:fill="auto"/>
            <w:noWrap/>
            <w:vAlign w:val="center"/>
          </w:tcPr>
          <w:p w14:paraId="2FFFD90A" w14:textId="5C46EBA6"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11.98</w:t>
            </w:r>
          </w:p>
        </w:tc>
        <w:tc>
          <w:tcPr>
            <w:tcW w:w="603" w:type="dxa"/>
            <w:gridSpan w:val="2"/>
            <w:shd w:val="clear" w:color="auto" w:fill="auto"/>
            <w:noWrap/>
            <w:vAlign w:val="center"/>
          </w:tcPr>
          <w:p w14:paraId="05362C8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r>
      <w:tr w:rsidR="003E068C" w:rsidRPr="003E068C" w14:paraId="617D1C39" w14:textId="77777777" w:rsidTr="00C41ABE">
        <w:trPr>
          <w:gridAfter w:val="1"/>
          <w:wAfter w:w="7" w:type="dxa"/>
          <w:jc w:val="center"/>
        </w:trPr>
        <w:tc>
          <w:tcPr>
            <w:tcW w:w="851" w:type="dxa"/>
            <w:vMerge/>
            <w:shd w:val="clear" w:color="auto" w:fill="auto"/>
            <w:vAlign w:val="center"/>
            <w:hideMark/>
          </w:tcPr>
          <w:p w14:paraId="43CE9DB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688586B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658D0EE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6F810B74" w14:textId="77777777" w:rsidR="009D39F7" w:rsidRPr="00B878AA" w:rsidRDefault="009D39F7" w:rsidP="003E068C">
            <w:pPr>
              <w:autoSpaceDE w:val="0"/>
              <w:autoSpaceDN w:val="0"/>
              <w:adjustRightInd w:val="0"/>
              <w:snapToGrid w:val="0"/>
              <w:spacing w:line="240" w:lineRule="auto"/>
              <w:jc w:val="center"/>
              <w:rPr>
                <w:rFonts w:eastAsia="Times New Roman"/>
                <w:b/>
                <w:bCs/>
                <w:color w:val="7F7F7F"/>
                <w:sz w:val="16"/>
                <w:szCs w:val="16"/>
                <w:lang w:eastAsia="fr-CA"/>
              </w:rPr>
            </w:pPr>
            <w:r w:rsidRPr="00B878AA">
              <w:rPr>
                <w:rFonts w:eastAsia="Times New Roman"/>
                <w:b/>
                <w:bCs/>
                <w:color w:val="7F7F7F"/>
                <w:sz w:val="16"/>
                <w:szCs w:val="16"/>
                <w:lang w:eastAsia="fr-CA"/>
              </w:rPr>
              <w:t>95</w:t>
            </w:r>
          </w:p>
        </w:tc>
        <w:tc>
          <w:tcPr>
            <w:tcW w:w="567" w:type="dxa"/>
            <w:shd w:val="clear" w:color="auto" w:fill="auto"/>
            <w:noWrap/>
            <w:vAlign w:val="center"/>
            <w:hideMark/>
          </w:tcPr>
          <w:p w14:paraId="44A15E0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8.5</w:t>
            </w:r>
          </w:p>
        </w:tc>
        <w:tc>
          <w:tcPr>
            <w:tcW w:w="284" w:type="dxa"/>
            <w:shd w:val="clear" w:color="auto" w:fill="auto"/>
            <w:noWrap/>
            <w:vAlign w:val="center"/>
            <w:hideMark/>
          </w:tcPr>
          <w:p w14:paraId="7DA1C46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8.2</w:t>
            </w:r>
          </w:p>
        </w:tc>
        <w:tc>
          <w:tcPr>
            <w:tcW w:w="850" w:type="dxa"/>
            <w:shd w:val="clear" w:color="auto" w:fill="auto"/>
            <w:noWrap/>
            <w:vAlign w:val="center"/>
          </w:tcPr>
          <w:p w14:paraId="41F89FA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1854</w:t>
            </w:r>
          </w:p>
        </w:tc>
        <w:tc>
          <w:tcPr>
            <w:tcW w:w="1156" w:type="dxa"/>
            <w:shd w:val="clear" w:color="auto" w:fill="auto"/>
            <w:noWrap/>
            <w:vAlign w:val="center"/>
            <w:hideMark/>
          </w:tcPr>
          <w:p w14:paraId="7A11836F" w14:textId="35AD30D2"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Na,Mg </w:t>
            </w:r>
            <w:r w:rsidR="002529A5" w:rsidRPr="00A45811">
              <w:rPr>
                <w:rFonts w:eastAsia="Times New Roman"/>
                <w:sz w:val="16"/>
                <w:szCs w:val="16"/>
                <w:lang w:eastAsia="fr-CA"/>
              </w:rPr>
              <w:t>–</w:t>
            </w:r>
            <w:r w:rsidRPr="00A45811">
              <w:rPr>
                <w:rFonts w:eastAsia="Times New Roman"/>
                <w:sz w:val="16"/>
                <w:szCs w:val="16"/>
                <w:lang w:eastAsia="fr-CA"/>
              </w:rPr>
              <w:t xml:space="preserve"> Cl</w:t>
            </w:r>
          </w:p>
        </w:tc>
        <w:tc>
          <w:tcPr>
            <w:tcW w:w="838" w:type="dxa"/>
            <w:shd w:val="clear" w:color="auto" w:fill="auto"/>
            <w:noWrap/>
            <w:vAlign w:val="center"/>
            <w:hideMark/>
          </w:tcPr>
          <w:p w14:paraId="0CEC3B4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150</w:t>
            </w:r>
          </w:p>
        </w:tc>
        <w:tc>
          <w:tcPr>
            <w:tcW w:w="851" w:type="dxa"/>
            <w:gridSpan w:val="2"/>
            <w:shd w:val="clear" w:color="auto" w:fill="auto"/>
            <w:noWrap/>
            <w:vAlign w:val="center"/>
            <w:hideMark/>
          </w:tcPr>
          <w:p w14:paraId="5DA9DEE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140</w:t>
            </w:r>
          </w:p>
        </w:tc>
        <w:tc>
          <w:tcPr>
            <w:tcW w:w="709" w:type="dxa"/>
            <w:gridSpan w:val="2"/>
            <w:shd w:val="clear" w:color="auto" w:fill="auto"/>
            <w:noWrap/>
            <w:vAlign w:val="center"/>
            <w:hideMark/>
          </w:tcPr>
          <w:p w14:paraId="58D8A61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370</w:t>
            </w:r>
          </w:p>
        </w:tc>
        <w:tc>
          <w:tcPr>
            <w:tcW w:w="637" w:type="dxa"/>
            <w:gridSpan w:val="2"/>
            <w:shd w:val="clear" w:color="auto" w:fill="auto"/>
            <w:noWrap/>
            <w:vAlign w:val="center"/>
            <w:hideMark/>
          </w:tcPr>
          <w:p w14:paraId="0A68DBA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0.6</w:t>
            </w:r>
          </w:p>
        </w:tc>
        <w:tc>
          <w:tcPr>
            <w:tcW w:w="993" w:type="dxa"/>
            <w:gridSpan w:val="2"/>
            <w:shd w:val="clear" w:color="auto" w:fill="auto"/>
            <w:noWrap/>
            <w:vAlign w:val="center"/>
            <w:hideMark/>
          </w:tcPr>
          <w:p w14:paraId="73C090C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87</w:t>
            </w:r>
          </w:p>
        </w:tc>
        <w:tc>
          <w:tcPr>
            <w:tcW w:w="555" w:type="dxa"/>
            <w:gridSpan w:val="2"/>
            <w:shd w:val="clear" w:color="auto" w:fill="auto"/>
            <w:noWrap/>
            <w:vAlign w:val="center"/>
            <w:hideMark/>
          </w:tcPr>
          <w:p w14:paraId="3D800C9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1100</w:t>
            </w:r>
          </w:p>
        </w:tc>
        <w:tc>
          <w:tcPr>
            <w:tcW w:w="499" w:type="dxa"/>
            <w:gridSpan w:val="2"/>
            <w:shd w:val="clear" w:color="auto" w:fill="auto"/>
            <w:noWrap/>
            <w:vAlign w:val="center"/>
            <w:hideMark/>
          </w:tcPr>
          <w:p w14:paraId="746F1FD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w:t>
            </w:r>
          </w:p>
        </w:tc>
        <w:tc>
          <w:tcPr>
            <w:tcW w:w="561" w:type="dxa"/>
            <w:gridSpan w:val="2"/>
            <w:shd w:val="clear" w:color="auto" w:fill="auto"/>
            <w:noWrap/>
            <w:vAlign w:val="center"/>
          </w:tcPr>
          <w:p w14:paraId="662677E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0.5</w:t>
            </w:r>
          </w:p>
        </w:tc>
        <w:tc>
          <w:tcPr>
            <w:tcW w:w="706" w:type="dxa"/>
            <w:gridSpan w:val="2"/>
            <w:shd w:val="clear" w:color="auto" w:fill="auto"/>
            <w:noWrap/>
            <w:vAlign w:val="center"/>
          </w:tcPr>
          <w:p w14:paraId="6CD24390" w14:textId="5F43C359"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86.00</w:t>
            </w:r>
          </w:p>
        </w:tc>
        <w:tc>
          <w:tcPr>
            <w:tcW w:w="728" w:type="dxa"/>
            <w:gridSpan w:val="2"/>
            <w:shd w:val="clear" w:color="auto" w:fill="auto"/>
            <w:noWrap/>
            <w:vAlign w:val="center"/>
          </w:tcPr>
          <w:p w14:paraId="5976CE11" w14:textId="2AFE0553"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12.12</w:t>
            </w:r>
          </w:p>
        </w:tc>
        <w:tc>
          <w:tcPr>
            <w:tcW w:w="603" w:type="dxa"/>
            <w:gridSpan w:val="2"/>
            <w:shd w:val="clear" w:color="auto" w:fill="auto"/>
            <w:noWrap/>
            <w:vAlign w:val="center"/>
          </w:tcPr>
          <w:p w14:paraId="3DCC4B9A" w14:textId="74981B36"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r>
      <w:tr w:rsidR="003E068C" w:rsidRPr="003E068C" w14:paraId="76D2DFB7" w14:textId="77777777" w:rsidTr="00C41ABE">
        <w:trPr>
          <w:gridAfter w:val="1"/>
          <w:wAfter w:w="7" w:type="dxa"/>
          <w:jc w:val="center"/>
        </w:trPr>
        <w:tc>
          <w:tcPr>
            <w:tcW w:w="851" w:type="dxa"/>
            <w:vMerge/>
            <w:shd w:val="clear" w:color="auto" w:fill="auto"/>
            <w:vAlign w:val="center"/>
            <w:hideMark/>
          </w:tcPr>
          <w:p w14:paraId="17B0A94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6F5AB1D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val="restart"/>
            <w:shd w:val="clear" w:color="auto" w:fill="auto"/>
            <w:noWrap/>
            <w:vAlign w:val="center"/>
            <w:hideMark/>
          </w:tcPr>
          <w:p w14:paraId="0565E6B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PO7</w:t>
            </w:r>
          </w:p>
        </w:tc>
        <w:tc>
          <w:tcPr>
            <w:tcW w:w="950" w:type="dxa"/>
            <w:shd w:val="clear" w:color="auto" w:fill="auto"/>
            <w:noWrap/>
            <w:vAlign w:val="center"/>
            <w:hideMark/>
          </w:tcPr>
          <w:p w14:paraId="3150D153" w14:textId="77777777" w:rsidR="009D39F7" w:rsidRPr="00B878AA" w:rsidRDefault="009D39F7" w:rsidP="003E068C">
            <w:pPr>
              <w:autoSpaceDE w:val="0"/>
              <w:autoSpaceDN w:val="0"/>
              <w:adjustRightInd w:val="0"/>
              <w:snapToGrid w:val="0"/>
              <w:spacing w:line="240" w:lineRule="auto"/>
              <w:jc w:val="center"/>
              <w:rPr>
                <w:rFonts w:eastAsia="Times New Roman"/>
                <w:b/>
                <w:bCs/>
                <w:color w:val="7F7F7F"/>
                <w:sz w:val="16"/>
                <w:szCs w:val="16"/>
                <w:lang w:eastAsia="fr-CA"/>
              </w:rPr>
            </w:pPr>
            <w:r w:rsidRPr="00B878AA">
              <w:rPr>
                <w:rFonts w:eastAsia="Times New Roman"/>
                <w:b/>
                <w:bCs/>
                <w:color w:val="7F7F7F"/>
                <w:sz w:val="16"/>
                <w:szCs w:val="16"/>
                <w:lang w:eastAsia="fr-CA"/>
              </w:rPr>
              <w:t>10</w:t>
            </w:r>
          </w:p>
        </w:tc>
        <w:tc>
          <w:tcPr>
            <w:tcW w:w="567" w:type="dxa"/>
            <w:shd w:val="clear" w:color="auto" w:fill="auto"/>
            <w:noWrap/>
            <w:vAlign w:val="center"/>
            <w:hideMark/>
          </w:tcPr>
          <w:p w14:paraId="047B24A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9.0</w:t>
            </w:r>
          </w:p>
        </w:tc>
        <w:tc>
          <w:tcPr>
            <w:tcW w:w="284" w:type="dxa"/>
            <w:shd w:val="clear" w:color="auto" w:fill="auto"/>
            <w:noWrap/>
            <w:vAlign w:val="center"/>
            <w:hideMark/>
          </w:tcPr>
          <w:p w14:paraId="03393FA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7.9</w:t>
            </w:r>
          </w:p>
        </w:tc>
        <w:tc>
          <w:tcPr>
            <w:tcW w:w="850" w:type="dxa"/>
            <w:shd w:val="clear" w:color="auto" w:fill="auto"/>
            <w:noWrap/>
            <w:vAlign w:val="center"/>
          </w:tcPr>
          <w:p w14:paraId="464AE91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502</w:t>
            </w:r>
          </w:p>
        </w:tc>
        <w:tc>
          <w:tcPr>
            <w:tcW w:w="1156" w:type="dxa"/>
            <w:shd w:val="clear" w:color="auto" w:fill="auto"/>
            <w:noWrap/>
            <w:vAlign w:val="center"/>
            <w:hideMark/>
          </w:tcPr>
          <w:p w14:paraId="42DCFCE3" w14:textId="387869AC"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r w:rsidRPr="00A45811">
              <w:rPr>
                <w:rFonts w:eastAsia="Times New Roman"/>
                <w:sz w:val="16"/>
                <w:szCs w:val="16"/>
                <w:lang w:eastAsia="fr-CA"/>
              </w:rPr>
              <w:t>,Cl</w:t>
            </w:r>
          </w:p>
        </w:tc>
        <w:tc>
          <w:tcPr>
            <w:tcW w:w="838" w:type="dxa"/>
            <w:shd w:val="clear" w:color="auto" w:fill="auto"/>
            <w:noWrap/>
            <w:vAlign w:val="center"/>
            <w:hideMark/>
          </w:tcPr>
          <w:p w14:paraId="32DE5FA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95</w:t>
            </w:r>
          </w:p>
        </w:tc>
        <w:tc>
          <w:tcPr>
            <w:tcW w:w="851" w:type="dxa"/>
            <w:gridSpan w:val="2"/>
            <w:shd w:val="clear" w:color="auto" w:fill="auto"/>
            <w:noWrap/>
            <w:vAlign w:val="center"/>
            <w:hideMark/>
          </w:tcPr>
          <w:p w14:paraId="1808D66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11</w:t>
            </w:r>
          </w:p>
        </w:tc>
        <w:tc>
          <w:tcPr>
            <w:tcW w:w="709" w:type="dxa"/>
            <w:gridSpan w:val="2"/>
            <w:shd w:val="clear" w:color="auto" w:fill="auto"/>
            <w:noWrap/>
            <w:vAlign w:val="center"/>
            <w:hideMark/>
          </w:tcPr>
          <w:p w14:paraId="2614DDA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43</w:t>
            </w:r>
          </w:p>
        </w:tc>
        <w:tc>
          <w:tcPr>
            <w:tcW w:w="637" w:type="dxa"/>
            <w:gridSpan w:val="2"/>
            <w:shd w:val="clear" w:color="auto" w:fill="auto"/>
            <w:noWrap/>
            <w:vAlign w:val="center"/>
            <w:hideMark/>
          </w:tcPr>
          <w:p w14:paraId="0987C25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1.5</w:t>
            </w:r>
          </w:p>
        </w:tc>
        <w:tc>
          <w:tcPr>
            <w:tcW w:w="993" w:type="dxa"/>
            <w:gridSpan w:val="2"/>
            <w:shd w:val="clear" w:color="auto" w:fill="auto"/>
            <w:noWrap/>
            <w:vAlign w:val="center"/>
            <w:hideMark/>
          </w:tcPr>
          <w:p w14:paraId="383703F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254</w:t>
            </w:r>
          </w:p>
        </w:tc>
        <w:tc>
          <w:tcPr>
            <w:tcW w:w="555" w:type="dxa"/>
            <w:gridSpan w:val="2"/>
            <w:shd w:val="clear" w:color="auto" w:fill="auto"/>
            <w:noWrap/>
            <w:vAlign w:val="center"/>
            <w:hideMark/>
          </w:tcPr>
          <w:p w14:paraId="31A08A8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69</w:t>
            </w:r>
          </w:p>
        </w:tc>
        <w:tc>
          <w:tcPr>
            <w:tcW w:w="499" w:type="dxa"/>
            <w:gridSpan w:val="2"/>
            <w:shd w:val="clear" w:color="auto" w:fill="auto"/>
            <w:noWrap/>
            <w:vAlign w:val="center"/>
            <w:hideMark/>
          </w:tcPr>
          <w:p w14:paraId="76EE33E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29</w:t>
            </w:r>
          </w:p>
        </w:tc>
        <w:tc>
          <w:tcPr>
            <w:tcW w:w="561" w:type="dxa"/>
            <w:gridSpan w:val="2"/>
            <w:shd w:val="clear" w:color="auto" w:fill="auto"/>
            <w:noWrap/>
            <w:vAlign w:val="center"/>
          </w:tcPr>
          <w:p w14:paraId="2B4B0CB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1.0</w:t>
            </w:r>
          </w:p>
        </w:tc>
        <w:tc>
          <w:tcPr>
            <w:tcW w:w="706" w:type="dxa"/>
            <w:gridSpan w:val="2"/>
            <w:shd w:val="clear" w:color="auto" w:fill="auto"/>
            <w:noWrap/>
            <w:vAlign w:val="center"/>
          </w:tcPr>
          <w:p w14:paraId="7933F856" w14:textId="472A503D"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77.14</w:t>
            </w:r>
          </w:p>
        </w:tc>
        <w:tc>
          <w:tcPr>
            <w:tcW w:w="728" w:type="dxa"/>
            <w:gridSpan w:val="2"/>
            <w:shd w:val="clear" w:color="auto" w:fill="auto"/>
            <w:noWrap/>
            <w:vAlign w:val="center"/>
          </w:tcPr>
          <w:p w14:paraId="59CAE0FE" w14:textId="0220F206"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11.16</w:t>
            </w:r>
          </w:p>
        </w:tc>
        <w:tc>
          <w:tcPr>
            <w:tcW w:w="603" w:type="dxa"/>
            <w:gridSpan w:val="2"/>
            <w:shd w:val="clear" w:color="auto" w:fill="auto"/>
            <w:noWrap/>
            <w:vAlign w:val="center"/>
          </w:tcPr>
          <w:p w14:paraId="572663E3" w14:textId="0A58EA0C"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r>
      <w:tr w:rsidR="003E068C" w:rsidRPr="003E068C" w14:paraId="12BF4522" w14:textId="77777777" w:rsidTr="00C41ABE">
        <w:trPr>
          <w:gridAfter w:val="1"/>
          <w:wAfter w:w="7" w:type="dxa"/>
          <w:jc w:val="center"/>
        </w:trPr>
        <w:tc>
          <w:tcPr>
            <w:tcW w:w="851" w:type="dxa"/>
            <w:vMerge/>
            <w:shd w:val="clear" w:color="auto" w:fill="auto"/>
            <w:vAlign w:val="center"/>
            <w:hideMark/>
          </w:tcPr>
          <w:p w14:paraId="12DD710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54461BF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20ACC22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1EA22F90" w14:textId="77777777" w:rsidR="009D39F7" w:rsidRPr="00B878AA" w:rsidRDefault="009D39F7" w:rsidP="003E068C">
            <w:pPr>
              <w:autoSpaceDE w:val="0"/>
              <w:autoSpaceDN w:val="0"/>
              <w:adjustRightInd w:val="0"/>
              <w:snapToGrid w:val="0"/>
              <w:spacing w:line="240" w:lineRule="auto"/>
              <w:jc w:val="center"/>
              <w:rPr>
                <w:rFonts w:eastAsia="Times New Roman"/>
                <w:b/>
                <w:bCs/>
                <w:color w:val="7F7F7F"/>
                <w:sz w:val="16"/>
                <w:szCs w:val="16"/>
                <w:lang w:eastAsia="fr-CA"/>
              </w:rPr>
            </w:pPr>
            <w:r w:rsidRPr="00B878AA">
              <w:rPr>
                <w:rFonts w:eastAsia="Times New Roman"/>
                <w:b/>
                <w:bCs/>
                <w:color w:val="7F7F7F"/>
                <w:sz w:val="16"/>
                <w:szCs w:val="16"/>
                <w:lang w:eastAsia="fr-CA"/>
              </w:rPr>
              <w:t>40</w:t>
            </w:r>
          </w:p>
        </w:tc>
        <w:tc>
          <w:tcPr>
            <w:tcW w:w="567" w:type="dxa"/>
            <w:shd w:val="clear" w:color="auto" w:fill="auto"/>
            <w:noWrap/>
            <w:vAlign w:val="center"/>
            <w:hideMark/>
          </w:tcPr>
          <w:p w14:paraId="4F075A6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8.8</w:t>
            </w:r>
          </w:p>
        </w:tc>
        <w:tc>
          <w:tcPr>
            <w:tcW w:w="284" w:type="dxa"/>
            <w:shd w:val="clear" w:color="auto" w:fill="auto"/>
            <w:noWrap/>
            <w:vAlign w:val="center"/>
            <w:hideMark/>
          </w:tcPr>
          <w:p w14:paraId="682469B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7.8</w:t>
            </w:r>
          </w:p>
        </w:tc>
        <w:tc>
          <w:tcPr>
            <w:tcW w:w="850" w:type="dxa"/>
            <w:shd w:val="clear" w:color="auto" w:fill="auto"/>
            <w:noWrap/>
            <w:vAlign w:val="center"/>
          </w:tcPr>
          <w:p w14:paraId="57F7E60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545</w:t>
            </w:r>
          </w:p>
        </w:tc>
        <w:tc>
          <w:tcPr>
            <w:tcW w:w="1156" w:type="dxa"/>
            <w:shd w:val="clear" w:color="auto" w:fill="auto"/>
            <w:noWrap/>
            <w:vAlign w:val="center"/>
            <w:hideMark/>
          </w:tcPr>
          <w:p w14:paraId="5C404088" w14:textId="7DED7161"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Ca,Na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r w:rsidRPr="00A45811">
              <w:rPr>
                <w:rFonts w:eastAsia="Times New Roman"/>
                <w:sz w:val="16"/>
                <w:szCs w:val="16"/>
                <w:lang w:eastAsia="fr-CA"/>
              </w:rPr>
              <w:t>,Cl</w:t>
            </w:r>
          </w:p>
        </w:tc>
        <w:tc>
          <w:tcPr>
            <w:tcW w:w="838" w:type="dxa"/>
            <w:shd w:val="clear" w:color="auto" w:fill="auto"/>
            <w:noWrap/>
            <w:vAlign w:val="center"/>
            <w:hideMark/>
          </w:tcPr>
          <w:p w14:paraId="27F87EC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95</w:t>
            </w:r>
          </w:p>
        </w:tc>
        <w:tc>
          <w:tcPr>
            <w:tcW w:w="851" w:type="dxa"/>
            <w:gridSpan w:val="2"/>
            <w:shd w:val="clear" w:color="auto" w:fill="auto"/>
            <w:noWrap/>
            <w:vAlign w:val="center"/>
            <w:hideMark/>
          </w:tcPr>
          <w:p w14:paraId="03240B7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14</w:t>
            </w:r>
          </w:p>
        </w:tc>
        <w:tc>
          <w:tcPr>
            <w:tcW w:w="709" w:type="dxa"/>
            <w:gridSpan w:val="2"/>
            <w:shd w:val="clear" w:color="auto" w:fill="auto"/>
            <w:noWrap/>
            <w:vAlign w:val="center"/>
            <w:hideMark/>
          </w:tcPr>
          <w:p w14:paraId="18D9453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58</w:t>
            </w:r>
          </w:p>
        </w:tc>
        <w:tc>
          <w:tcPr>
            <w:tcW w:w="637" w:type="dxa"/>
            <w:gridSpan w:val="2"/>
            <w:shd w:val="clear" w:color="auto" w:fill="auto"/>
            <w:noWrap/>
            <w:vAlign w:val="center"/>
            <w:hideMark/>
          </w:tcPr>
          <w:p w14:paraId="6240955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1.3</w:t>
            </w:r>
          </w:p>
        </w:tc>
        <w:tc>
          <w:tcPr>
            <w:tcW w:w="993" w:type="dxa"/>
            <w:gridSpan w:val="2"/>
            <w:shd w:val="clear" w:color="auto" w:fill="auto"/>
            <w:noWrap/>
            <w:vAlign w:val="center"/>
            <w:hideMark/>
          </w:tcPr>
          <w:p w14:paraId="62AEE77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254</w:t>
            </w:r>
          </w:p>
        </w:tc>
        <w:tc>
          <w:tcPr>
            <w:tcW w:w="555" w:type="dxa"/>
            <w:gridSpan w:val="2"/>
            <w:shd w:val="clear" w:color="auto" w:fill="auto"/>
            <w:noWrap/>
            <w:vAlign w:val="center"/>
            <w:hideMark/>
          </w:tcPr>
          <w:p w14:paraId="6AF3133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89</w:t>
            </w:r>
          </w:p>
        </w:tc>
        <w:tc>
          <w:tcPr>
            <w:tcW w:w="499" w:type="dxa"/>
            <w:gridSpan w:val="2"/>
            <w:shd w:val="clear" w:color="auto" w:fill="auto"/>
            <w:noWrap/>
            <w:vAlign w:val="center"/>
            <w:hideMark/>
          </w:tcPr>
          <w:p w14:paraId="0A35851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34</w:t>
            </w:r>
          </w:p>
        </w:tc>
        <w:tc>
          <w:tcPr>
            <w:tcW w:w="561" w:type="dxa"/>
            <w:gridSpan w:val="2"/>
            <w:shd w:val="clear" w:color="auto" w:fill="auto"/>
            <w:noWrap/>
            <w:vAlign w:val="center"/>
          </w:tcPr>
          <w:p w14:paraId="423FA84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1.0</w:t>
            </w:r>
          </w:p>
        </w:tc>
        <w:tc>
          <w:tcPr>
            <w:tcW w:w="706" w:type="dxa"/>
            <w:gridSpan w:val="2"/>
            <w:shd w:val="clear" w:color="auto" w:fill="auto"/>
            <w:noWrap/>
            <w:vAlign w:val="center"/>
          </w:tcPr>
          <w:p w14:paraId="1F27C5B3" w14:textId="02DF7AF1"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77.18</w:t>
            </w:r>
          </w:p>
        </w:tc>
        <w:tc>
          <w:tcPr>
            <w:tcW w:w="728" w:type="dxa"/>
            <w:gridSpan w:val="2"/>
            <w:shd w:val="clear" w:color="auto" w:fill="auto"/>
            <w:noWrap/>
            <w:vAlign w:val="center"/>
          </w:tcPr>
          <w:p w14:paraId="53D81AF3" w14:textId="7D674B96"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11.22</w:t>
            </w:r>
          </w:p>
        </w:tc>
        <w:tc>
          <w:tcPr>
            <w:tcW w:w="603" w:type="dxa"/>
            <w:gridSpan w:val="2"/>
            <w:shd w:val="clear" w:color="auto" w:fill="auto"/>
            <w:noWrap/>
            <w:vAlign w:val="center"/>
          </w:tcPr>
          <w:p w14:paraId="248EBB9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r>
      <w:tr w:rsidR="003E068C" w:rsidRPr="003E068C" w14:paraId="7300C4A8" w14:textId="77777777" w:rsidTr="00C41ABE">
        <w:trPr>
          <w:gridAfter w:val="1"/>
          <w:wAfter w:w="7" w:type="dxa"/>
          <w:jc w:val="center"/>
        </w:trPr>
        <w:tc>
          <w:tcPr>
            <w:tcW w:w="851" w:type="dxa"/>
            <w:vMerge/>
            <w:shd w:val="clear" w:color="auto" w:fill="auto"/>
            <w:vAlign w:val="center"/>
            <w:hideMark/>
          </w:tcPr>
          <w:p w14:paraId="4ECBE27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7EBB18F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6ABA792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0EC5AAF4" w14:textId="77777777" w:rsidR="009D39F7" w:rsidRPr="00B878AA" w:rsidRDefault="009D39F7" w:rsidP="003E068C">
            <w:pPr>
              <w:autoSpaceDE w:val="0"/>
              <w:autoSpaceDN w:val="0"/>
              <w:adjustRightInd w:val="0"/>
              <w:snapToGrid w:val="0"/>
              <w:spacing w:line="240" w:lineRule="auto"/>
              <w:jc w:val="center"/>
              <w:rPr>
                <w:rFonts w:eastAsia="Times New Roman"/>
                <w:b/>
                <w:bCs/>
                <w:color w:val="7F7F7F"/>
                <w:sz w:val="16"/>
                <w:szCs w:val="16"/>
                <w:lang w:eastAsia="fr-CA"/>
              </w:rPr>
            </w:pPr>
            <w:r w:rsidRPr="00B878AA">
              <w:rPr>
                <w:rFonts w:eastAsia="Times New Roman"/>
                <w:b/>
                <w:bCs/>
                <w:color w:val="7F7F7F"/>
                <w:sz w:val="16"/>
                <w:szCs w:val="16"/>
                <w:lang w:eastAsia="fr-CA"/>
              </w:rPr>
              <w:t>60</w:t>
            </w:r>
          </w:p>
        </w:tc>
        <w:tc>
          <w:tcPr>
            <w:tcW w:w="567" w:type="dxa"/>
            <w:shd w:val="clear" w:color="auto" w:fill="auto"/>
            <w:noWrap/>
            <w:vAlign w:val="center"/>
            <w:hideMark/>
          </w:tcPr>
          <w:p w14:paraId="503BFC7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8.7</w:t>
            </w:r>
          </w:p>
        </w:tc>
        <w:tc>
          <w:tcPr>
            <w:tcW w:w="284" w:type="dxa"/>
            <w:shd w:val="clear" w:color="auto" w:fill="auto"/>
            <w:noWrap/>
            <w:vAlign w:val="center"/>
            <w:hideMark/>
          </w:tcPr>
          <w:p w14:paraId="2850AF4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7.8</w:t>
            </w:r>
          </w:p>
        </w:tc>
        <w:tc>
          <w:tcPr>
            <w:tcW w:w="850" w:type="dxa"/>
            <w:shd w:val="clear" w:color="auto" w:fill="auto"/>
            <w:noWrap/>
            <w:vAlign w:val="center"/>
          </w:tcPr>
          <w:p w14:paraId="3A60248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720</w:t>
            </w:r>
          </w:p>
        </w:tc>
        <w:tc>
          <w:tcPr>
            <w:tcW w:w="1156" w:type="dxa"/>
            <w:shd w:val="clear" w:color="auto" w:fill="auto"/>
            <w:noWrap/>
            <w:vAlign w:val="center"/>
            <w:hideMark/>
          </w:tcPr>
          <w:p w14:paraId="15666008" w14:textId="77777777"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Na,Ca – Cl,HCO</w:t>
            </w:r>
            <w:r w:rsidRPr="00A45811">
              <w:rPr>
                <w:rFonts w:eastAsia="Times New Roman"/>
                <w:sz w:val="16"/>
                <w:szCs w:val="16"/>
                <w:vertAlign w:val="subscript"/>
                <w:lang w:eastAsia="fr-CA"/>
              </w:rPr>
              <w:t>3</w:t>
            </w:r>
          </w:p>
        </w:tc>
        <w:tc>
          <w:tcPr>
            <w:tcW w:w="838" w:type="dxa"/>
            <w:shd w:val="clear" w:color="auto" w:fill="auto"/>
            <w:noWrap/>
            <w:vAlign w:val="center"/>
            <w:hideMark/>
          </w:tcPr>
          <w:p w14:paraId="137ED89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64</w:t>
            </w:r>
          </w:p>
        </w:tc>
        <w:tc>
          <w:tcPr>
            <w:tcW w:w="851" w:type="dxa"/>
            <w:gridSpan w:val="2"/>
            <w:shd w:val="clear" w:color="auto" w:fill="auto"/>
            <w:noWrap/>
            <w:vAlign w:val="center"/>
            <w:hideMark/>
          </w:tcPr>
          <w:p w14:paraId="0447EFD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17</w:t>
            </w:r>
          </w:p>
        </w:tc>
        <w:tc>
          <w:tcPr>
            <w:tcW w:w="709" w:type="dxa"/>
            <w:gridSpan w:val="2"/>
            <w:shd w:val="clear" w:color="auto" w:fill="auto"/>
            <w:noWrap/>
            <w:vAlign w:val="center"/>
            <w:hideMark/>
          </w:tcPr>
          <w:p w14:paraId="56C92D4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160</w:t>
            </w:r>
          </w:p>
        </w:tc>
        <w:tc>
          <w:tcPr>
            <w:tcW w:w="637" w:type="dxa"/>
            <w:gridSpan w:val="2"/>
            <w:shd w:val="clear" w:color="auto" w:fill="auto"/>
            <w:noWrap/>
            <w:vAlign w:val="center"/>
            <w:hideMark/>
          </w:tcPr>
          <w:p w14:paraId="7ED9CCC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1.2</w:t>
            </w:r>
          </w:p>
        </w:tc>
        <w:tc>
          <w:tcPr>
            <w:tcW w:w="993" w:type="dxa"/>
            <w:gridSpan w:val="2"/>
            <w:shd w:val="clear" w:color="auto" w:fill="auto"/>
            <w:noWrap/>
            <w:vAlign w:val="center"/>
            <w:hideMark/>
          </w:tcPr>
          <w:p w14:paraId="0492216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266</w:t>
            </w:r>
          </w:p>
        </w:tc>
        <w:tc>
          <w:tcPr>
            <w:tcW w:w="555" w:type="dxa"/>
            <w:gridSpan w:val="2"/>
            <w:shd w:val="clear" w:color="auto" w:fill="auto"/>
            <w:noWrap/>
            <w:vAlign w:val="center"/>
            <w:hideMark/>
          </w:tcPr>
          <w:p w14:paraId="7517182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170</w:t>
            </w:r>
          </w:p>
        </w:tc>
        <w:tc>
          <w:tcPr>
            <w:tcW w:w="499" w:type="dxa"/>
            <w:gridSpan w:val="2"/>
            <w:shd w:val="clear" w:color="auto" w:fill="auto"/>
            <w:noWrap/>
            <w:vAlign w:val="center"/>
            <w:hideMark/>
          </w:tcPr>
          <w:p w14:paraId="12062D1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42</w:t>
            </w:r>
          </w:p>
        </w:tc>
        <w:tc>
          <w:tcPr>
            <w:tcW w:w="561" w:type="dxa"/>
            <w:gridSpan w:val="2"/>
            <w:shd w:val="clear" w:color="auto" w:fill="auto"/>
            <w:noWrap/>
            <w:vAlign w:val="center"/>
          </w:tcPr>
          <w:p w14:paraId="11FCA9B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1.5</w:t>
            </w:r>
          </w:p>
        </w:tc>
        <w:tc>
          <w:tcPr>
            <w:tcW w:w="706" w:type="dxa"/>
            <w:gridSpan w:val="2"/>
            <w:shd w:val="clear" w:color="auto" w:fill="auto"/>
            <w:noWrap/>
            <w:vAlign w:val="center"/>
          </w:tcPr>
          <w:p w14:paraId="2506B914" w14:textId="699CA807"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77.37</w:t>
            </w:r>
          </w:p>
        </w:tc>
        <w:tc>
          <w:tcPr>
            <w:tcW w:w="728" w:type="dxa"/>
            <w:gridSpan w:val="2"/>
            <w:shd w:val="clear" w:color="auto" w:fill="auto"/>
            <w:noWrap/>
            <w:vAlign w:val="center"/>
          </w:tcPr>
          <w:p w14:paraId="0DF6FC93" w14:textId="6F75C7AE"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11.22</w:t>
            </w:r>
          </w:p>
        </w:tc>
        <w:tc>
          <w:tcPr>
            <w:tcW w:w="603" w:type="dxa"/>
            <w:gridSpan w:val="2"/>
            <w:shd w:val="clear" w:color="auto" w:fill="auto"/>
            <w:noWrap/>
            <w:vAlign w:val="center"/>
          </w:tcPr>
          <w:p w14:paraId="574451BE" w14:textId="1017728E"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r>
      <w:tr w:rsidR="00B878AA" w:rsidRPr="003E068C" w14:paraId="3246E789" w14:textId="77777777" w:rsidTr="00C41ABE">
        <w:trPr>
          <w:gridAfter w:val="1"/>
          <w:wAfter w:w="7" w:type="dxa"/>
          <w:jc w:val="center"/>
        </w:trPr>
        <w:tc>
          <w:tcPr>
            <w:tcW w:w="851" w:type="dxa"/>
            <w:vMerge w:val="restart"/>
            <w:shd w:val="clear" w:color="auto" w:fill="auto"/>
            <w:noWrap/>
            <w:vAlign w:val="center"/>
            <w:hideMark/>
          </w:tcPr>
          <w:p w14:paraId="7F854AA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Sandstone</w:t>
            </w:r>
          </w:p>
        </w:tc>
        <w:tc>
          <w:tcPr>
            <w:tcW w:w="931" w:type="dxa"/>
            <w:shd w:val="clear" w:color="auto" w:fill="auto"/>
            <w:vAlign w:val="center"/>
            <w:hideMark/>
          </w:tcPr>
          <w:p w14:paraId="378ED38C" w14:textId="77777777" w:rsidR="009D39F7" w:rsidRPr="00F41F10" w:rsidRDefault="009D39F7" w:rsidP="00F41F10">
            <w:pPr>
              <w:autoSpaceDE w:val="0"/>
              <w:autoSpaceDN w:val="0"/>
              <w:adjustRightInd w:val="0"/>
              <w:snapToGrid w:val="0"/>
              <w:spacing w:line="240" w:lineRule="auto"/>
              <w:ind w:left="104" w:hanging="104"/>
              <w:jc w:val="center"/>
              <w:rPr>
                <w:rFonts w:eastAsia="Times New Roman"/>
                <w:sz w:val="14"/>
                <w:szCs w:val="14"/>
                <w:lang w:eastAsia="fr-CA"/>
              </w:rPr>
            </w:pPr>
            <w:r w:rsidRPr="00F41F10">
              <w:rPr>
                <w:rFonts w:eastAsia="Times New Roman"/>
                <w:sz w:val="14"/>
                <w:szCs w:val="14"/>
                <w:lang w:eastAsia="fr-CA"/>
              </w:rPr>
              <w:t>Hemmingford</w:t>
            </w:r>
          </w:p>
        </w:tc>
        <w:tc>
          <w:tcPr>
            <w:tcW w:w="747" w:type="dxa"/>
            <w:shd w:val="clear" w:color="auto" w:fill="auto"/>
            <w:noWrap/>
            <w:vAlign w:val="center"/>
            <w:hideMark/>
          </w:tcPr>
          <w:p w14:paraId="7D566FB5" w14:textId="3265BE35"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P</w:t>
            </w:r>
            <w:r w:rsidR="002529A5" w:rsidRPr="00B878AA">
              <w:rPr>
                <w:rFonts w:eastAsia="Times New Roman"/>
                <w:sz w:val="16"/>
                <w:szCs w:val="16"/>
                <w:lang w:eastAsia="fr-CA"/>
              </w:rPr>
              <w:t>–</w:t>
            </w:r>
            <w:r w:rsidRPr="00B878AA">
              <w:rPr>
                <w:rFonts w:eastAsia="Times New Roman"/>
                <w:sz w:val="16"/>
                <w:szCs w:val="16"/>
                <w:lang w:eastAsia="fr-CA"/>
              </w:rPr>
              <w:t>Cl</w:t>
            </w:r>
          </w:p>
        </w:tc>
        <w:tc>
          <w:tcPr>
            <w:tcW w:w="950" w:type="dxa"/>
            <w:shd w:val="clear" w:color="auto" w:fill="auto"/>
            <w:noWrap/>
            <w:vAlign w:val="center"/>
            <w:hideMark/>
          </w:tcPr>
          <w:p w14:paraId="7808686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30</w:t>
            </w:r>
          </w:p>
        </w:tc>
        <w:tc>
          <w:tcPr>
            <w:tcW w:w="567" w:type="dxa"/>
            <w:shd w:val="clear" w:color="auto" w:fill="auto"/>
            <w:noWrap/>
            <w:vAlign w:val="center"/>
            <w:hideMark/>
          </w:tcPr>
          <w:p w14:paraId="7599A50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9.0</w:t>
            </w:r>
          </w:p>
        </w:tc>
        <w:tc>
          <w:tcPr>
            <w:tcW w:w="284" w:type="dxa"/>
            <w:shd w:val="clear" w:color="auto" w:fill="auto"/>
            <w:noWrap/>
            <w:vAlign w:val="center"/>
            <w:hideMark/>
          </w:tcPr>
          <w:p w14:paraId="225E1D7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7.2</w:t>
            </w:r>
          </w:p>
        </w:tc>
        <w:tc>
          <w:tcPr>
            <w:tcW w:w="850" w:type="dxa"/>
            <w:shd w:val="clear" w:color="auto" w:fill="auto"/>
            <w:noWrap/>
            <w:vAlign w:val="center"/>
          </w:tcPr>
          <w:p w14:paraId="0F9D698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370</w:t>
            </w:r>
          </w:p>
        </w:tc>
        <w:tc>
          <w:tcPr>
            <w:tcW w:w="1156" w:type="dxa"/>
            <w:shd w:val="clear" w:color="auto" w:fill="auto"/>
            <w:noWrap/>
            <w:vAlign w:val="center"/>
            <w:hideMark/>
          </w:tcPr>
          <w:p w14:paraId="24E606DC" w14:textId="79193530"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p>
        </w:tc>
        <w:tc>
          <w:tcPr>
            <w:tcW w:w="838" w:type="dxa"/>
            <w:shd w:val="clear" w:color="auto" w:fill="auto"/>
            <w:noWrap/>
            <w:vAlign w:val="center"/>
            <w:hideMark/>
          </w:tcPr>
          <w:p w14:paraId="27A1DCD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37</w:t>
            </w:r>
          </w:p>
        </w:tc>
        <w:tc>
          <w:tcPr>
            <w:tcW w:w="851" w:type="dxa"/>
            <w:gridSpan w:val="2"/>
            <w:shd w:val="clear" w:color="auto" w:fill="auto"/>
            <w:noWrap/>
            <w:vAlign w:val="center"/>
            <w:hideMark/>
          </w:tcPr>
          <w:p w14:paraId="07A229C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20</w:t>
            </w:r>
          </w:p>
        </w:tc>
        <w:tc>
          <w:tcPr>
            <w:tcW w:w="709" w:type="dxa"/>
            <w:gridSpan w:val="2"/>
            <w:shd w:val="clear" w:color="auto" w:fill="auto"/>
            <w:noWrap/>
            <w:vAlign w:val="center"/>
            <w:hideMark/>
          </w:tcPr>
          <w:p w14:paraId="732992E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28</w:t>
            </w:r>
          </w:p>
        </w:tc>
        <w:tc>
          <w:tcPr>
            <w:tcW w:w="637" w:type="dxa"/>
            <w:gridSpan w:val="2"/>
            <w:shd w:val="clear" w:color="auto" w:fill="auto"/>
            <w:noWrap/>
            <w:vAlign w:val="center"/>
            <w:hideMark/>
          </w:tcPr>
          <w:p w14:paraId="1CF693E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3.2</w:t>
            </w:r>
          </w:p>
        </w:tc>
        <w:tc>
          <w:tcPr>
            <w:tcW w:w="993" w:type="dxa"/>
            <w:gridSpan w:val="2"/>
            <w:shd w:val="clear" w:color="auto" w:fill="auto"/>
            <w:noWrap/>
            <w:vAlign w:val="center"/>
            <w:hideMark/>
          </w:tcPr>
          <w:p w14:paraId="3A95881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242</w:t>
            </w:r>
          </w:p>
        </w:tc>
        <w:tc>
          <w:tcPr>
            <w:tcW w:w="555" w:type="dxa"/>
            <w:gridSpan w:val="2"/>
            <w:shd w:val="clear" w:color="auto" w:fill="auto"/>
            <w:noWrap/>
            <w:vAlign w:val="center"/>
            <w:hideMark/>
          </w:tcPr>
          <w:p w14:paraId="1592E5E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8.9</w:t>
            </w:r>
          </w:p>
        </w:tc>
        <w:tc>
          <w:tcPr>
            <w:tcW w:w="499" w:type="dxa"/>
            <w:gridSpan w:val="2"/>
            <w:shd w:val="clear" w:color="auto" w:fill="auto"/>
            <w:noWrap/>
            <w:vAlign w:val="center"/>
            <w:hideMark/>
          </w:tcPr>
          <w:p w14:paraId="3F897E1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31</w:t>
            </w:r>
          </w:p>
        </w:tc>
        <w:tc>
          <w:tcPr>
            <w:tcW w:w="561" w:type="dxa"/>
            <w:gridSpan w:val="2"/>
            <w:shd w:val="clear" w:color="auto" w:fill="auto"/>
            <w:noWrap/>
            <w:vAlign w:val="center"/>
          </w:tcPr>
          <w:p w14:paraId="18B72FA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4.9</w:t>
            </w:r>
          </w:p>
        </w:tc>
        <w:tc>
          <w:tcPr>
            <w:tcW w:w="706" w:type="dxa"/>
            <w:gridSpan w:val="2"/>
            <w:shd w:val="clear" w:color="auto" w:fill="auto"/>
            <w:noWrap/>
            <w:vAlign w:val="center"/>
          </w:tcPr>
          <w:p w14:paraId="46AB8703" w14:textId="2D9B64AB"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79.72</w:t>
            </w:r>
          </w:p>
        </w:tc>
        <w:tc>
          <w:tcPr>
            <w:tcW w:w="728" w:type="dxa"/>
            <w:gridSpan w:val="2"/>
            <w:shd w:val="clear" w:color="auto" w:fill="auto"/>
            <w:noWrap/>
            <w:vAlign w:val="center"/>
          </w:tcPr>
          <w:p w14:paraId="3D674F2A" w14:textId="4EB86D6A"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11.49</w:t>
            </w:r>
          </w:p>
        </w:tc>
        <w:tc>
          <w:tcPr>
            <w:tcW w:w="603" w:type="dxa"/>
            <w:gridSpan w:val="2"/>
            <w:shd w:val="clear" w:color="auto" w:fill="auto"/>
            <w:noWrap/>
            <w:vAlign w:val="center"/>
          </w:tcPr>
          <w:p w14:paraId="3F54C644" w14:textId="6E925ACB"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r>
      <w:tr w:rsidR="003E068C" w:rsidRPr="003E068C" w14:paraId="5B3B7AC6" w14:textId="77777777" w:rsidTr="00C41ABE">
        <w:trPr>
          <w:gridAfter w:val="1"/>
          <w:wAfter w:w="7" w:type="dxa"/>
          <w:jc w:val="center"/>
        </w:trPr>
        <w:tc>
          <w:tcPr>
            <w:tcW w:w="851" w:type="dxa"/>
            <w:vMerge/>
            <w:shd w:val="clear" w:color="auto" w:fill="auto"/>
            <w:vAlign w:val="center"/>
            <w:hideMark/>
          </w:tcPr>
          <w:p w14:paraId="652D3B8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val="restart"/>
            <w:shd w:val="clear" w:color="auto" w:fill="auto"/>
            <w:vAlign w:val="center"/>
            <w:hideMark/>
          </w:tcPr>
          <w:p w14:paraId="13516BD5" w14:textId="0C05CF68"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St</w:t>
            </w:r>
            <w:r w:rsidR="003228AE" w:rsidRPr="00B878AA">
              <w:rPr>
                <w:rFonts w:eastAsia="Times New Roman"/>
                <w:sz w:val="16"/>
                <w:szCs w:val="16"/>
                <w:lang w:eastAsia="fr-CA"/>
              </w:rPr>
              <w:t>.</w:t>
            </w:r>
            <w:r w:rsidR="00F039AD" w:rsidRPr="00B878AA">
              <w:rPr>
                <w:rFonts w:eastAsia="Times New Roman"/>
                <w:sz w:val="16"/>
                <w:szCs w:val="16"/>
                <w:lang w:eastAsia="fr-CA"/>
              </w:rPr>
              <w:t xml:space="preserve"> </w:t>
            </w:r>
            <w:r w:rsidRPr="00B878AA">
              <w:rPr>
                <w:rFonts w:eastAsia="Times New Roman"/>
                <w:sz w:val="16"/>
                <w:szCs w:val="16"/>
                <w:lang w:eastAsia="fr-CA"/>
              </w:rPr>
              <w:t>Lazare</w:t>
            </w:r>
          </w:p>
        </w:tc>
        <w:tc>
          <w:tcPr>
            <w:tcW w:w="747" w:type="dxa"/>
            <w:vMerge w:val="restart"/>
            <w:shd w:val="clear" w:color="auto" w:fill="auto"/>
            <w:noWrap/>
            <w:vAlign w:val="center"/>
            <w:hideMark/>
          </w:tcPr>
          <w:p w14:paraId="35A2904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P11</w:t>
            </w:r>
          </w:p>
        </w:tc>
        <w:tc>
          <w:tcPr>
            <w:tcW w:w="950" w:type="dxa"/>
            <w:shd w:val="clear" w:color="auto" w:fill="auto"/>
            <w:noWrap/>
            <w:vAlign w:val="center"/>
            <w:hideMark/>
          </w:tcPr>
          <w:p w14:paraId="38862C6B" w14:textId="77777777" w:rsidR="009D39F7" w:rsidRPr="00B878AA" w:rsidRDefault="009D39F7" w:rsidP="003E068C">
            <w:pPr>
              <w:autoSpaceDE w:val="0"/>
              <w:autoSpaceDN w:val="0"/>
              <w:adjustRightInd w:val="0"/>
              <w:snapToGrid w:val="0"/>
              <w:spacing w:line="240" w:lineRule="auto"/>
              <w:jc w:val="center"/>
              <w:rPr>
                <w:rFonts w:eastAsia="Times New Roman"/>
                <w:b/>
                <w:bCs/>
                <w:color w:val="7F7F7F"/>
                <w:sz w:val="16"/>
                <w:szCs w:val="16"/>
                <w:lang w:eastAsia="fr-CA"/>
              </w:rPr>
            </w:pPr>
            <w:r w:rsidRPr="00B878AA">
              <w:rPr>
                <w:rFonts w:eastAsia="Times New Roman"/>
                <w:b/>
                <w:bCs/>
                <w:color w:val="7F7F7F"/>
                <w:sz w:val="16"/>
                <w:szCs w:val="16"/>
                <w:lang w:eastAsia="fr-CA"/>
              </w:rPr>
              <w:t>79</w:t>
            </w:r>
          </w:p>
        </w:tc>
        <w:tc>
          <w:tcPr>
            <w:tcW w:w="567" w:type="dxa"/>
            <w:shd w:val="clear" w:color="auto" w:fill="auto"/>
            <w:noWrap/>
            <w:vAlign w:val="center"/>
            <w:hideMark/>
          </w:tcPr>
          <w:p w14:paraId="0E62CDE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8.3</w:t>
            </w:r>
          </w:p>
        </w:tc>
        <w:tc>
          <w:tcPr>
            <w:tcW w:w="284" w:type="dxa"/>
            <w:shd w:val="clear" w:color="auto" w:fill="auto"/>
            <w:noWrap/>
            <w:vAlign w:val="center"/>
            <w:hideMark/>
          </w:tcPr>
          <w:p w14:paraId="7F82DAC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7.9</w:t>
            </w:r>
          </w:p>
        </w:tc>
        <w:tc>
          <w:tcPr>
            <w:tcW w:w="850" w:type="dxa"/>
            <w:shd w:val="clear" w:color="auto" w:fill="auto"/>
            <w:noWrap/>
            <w:vAlign w:val="center"/>
          </w:tcPr>
          <w:p w14:paraId="5A0F204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236</w:t>
            </w:r>
          </w:p>
        </w:tc>
        <w:tc>
          <w:tcPr>
            <w:tcW w:w="1156" w:type="dxa"/>
            <w:shd w:val="clear" w:color="auto" w:fill="auto"/>
            <w:noWrap/>
            <w:vAlign w:val="center"/>
            <w:hideMark/>
          </w:tcPr>
          <w:p w14:paraId="115597D0" w14:textId="02E9E6CF"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p>
        </w:tc>
        <w:tc>
          <w:tcPr>
            <w:tcW w:w="838" w:type="dxa"/>
            <w:shd w:val="clear" w:color="auto" w:fill="auto"/>
            <w:noWrap/>
            <w:vAlign w:val="center"/>
            <w:hideMark/>
          </w:tcPr>
          <w:p w14:paraId="1BADC88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32</w:t>
            </w:r>
          </w:p>
        </w:tc>
        <w:tc>
          <w:tcPr>
            <w:tcW w:w="851" w:type="dxa"/>
            <w:gridSpan w:val="2"/>
            <w:shd w:val="clear" w:color="auto" w:fill="auto"/>
            <w:noWrap/>
            <w:vAlign w:val="center"/>
            <w:hideMark/>
          </w:tcPr>
          <w:p w14:paraId="74F1AA5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11</w:t>
            </w:r>
          </w:p>
        </w:tc>
        <w:tc>
          <w:tcPr>
            <w:tcW w:w="709" w:type="dxa"/>
            <w:gridSpan w:val="2"/>
            <w:shd w:val="clear" w:color="auto" w:fill="auto"/>
            <w:noWrap/>
            <w:vAlign w:val="center"/>
            <w:hideMark/>
          </w:tcPr>
          <w:p w14:paraId="7620D59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8.2</w:t>
            </w:r>
          </w:p>
        </w:tc>
        <w:tc>
          <w:tcPr>
            <w:tcW w:w="637" w:type="dxa"/>
            <w:gridSpan w:val="2"/>
            <w:shd w:val="clear" w:color="auto" w:fill="auto"/>
            <w:noWrap/>
            <w:vAlign w:val="center"/>
            <w:hideMark/>
          </w:tcPr>
          <w:p w14:paraId="64B0251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2.2</w:t>
            </w:r>
          </w:p>
        </w:tc>
        <w:tc>
          <w:tcPr>
            <w:tcW w:w="993" w:type="dxa"/>
            <w:gridSpan w:val="2"/>
            <w:shd w:val="clear" w:color="auto" w:fill="auto"/>
            <w:noWrap/>
            <w:vAlign w:val="center"/>
            <w:hideMark/>
          </w:tcPr>
          <w:p w14:paraId="548B54E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181</w:t>
            </w:r>
          </w:p>
        </w:tc>
        <w:tc>
          <w:tcPr>
            <w:tcW w:w="555" w:type="dxa"/>
            <w:gridSpan w:val="2"/>
            <w:shd w:val="clear" w:color="auto" w:fill="auto"/>
            <w:noWrap/>
            <w:vAlign w:val="center"/>
            <w:hideMark/>
          </w:tcPr>
          <w:p w14:paraId="0044ACD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0.6</w:t>
            </w:r>
          </w:p>
        </w:tc>
        <w:tc>
          <w:tcPr>
            <w:tcW w:w="499" w:type="dxa"/>
            <w:gridSpan w:val="2"/>
            <w:shd w:val="clear" w:color="auto" w:fill="auto"/>
            <w:noWrap/>
            <w:vAlign w:val="center"/>
            <w:hideMark/>
          </w:tcPr>
          <w:p w14:paraId="65A83B5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0.5</w:t>
            </w:r>
          </w:p>
        </w:tc>
        <w:tc>
          <w:tcPr>
            <w:tcW w:w="561" w:type="dxa"/>
            <w:gridSpan w:val="2"/>
            <w:shd w:val="clear" w:color="auto" w:fill="auto"/>
            <w:noWrap/>
            <w:vAlign w:val="center"/>
          </w:tcPr>
          <w:p w14:paraId="01F8E35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21.1</w:t>
            </w:r>
          </w:p>
        </w:tc>
        <w:tc>
          <w:tcPr>
            <w:tcW w:w="706" w:type="dxa"/>
            <w:gridSpan w:val="2"/>
            <w:shd w:val="clear" w:color="auto" w:fill="auto"/>
            <w:noWrap/>
            <w:vAlign w:val="center"/>
          </w:tcPr>
          <w:p w14:paraId="4435DF43" w14:textId="0ABAC1CB"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81.79</w:t>
            </w:r>
          </w:p>
        </w:tc>
        <w:tc>
          <w:tcPr>
            <w:tcW w:w="728" w:type="dxa"/>
            <w:gridSpan w:val="2"/>
            <w:shd w:val="clear" w:color="auto" w:fill="auto"/>
            <w:noWrap/>
            <w:vAlign w:val="center"/>
          </w:tcPr>
          <w:p w14:paraId="61C2EDB3" w14:textId="2A953E1B"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11.95</w:t>
            </w:r>
          </w:p>
        </w:tc>
        <w:tc>
          <w:tcPr>
            <w:tcW w:w="603" w:type="dxa"/>
            <w:gridSpan w:val="2"/>
            <w:shd w:val="clear" w:color="auto" w:fill="auto"/>
            <w:noWrap/>
            <w:vAlign w:val="center"/>
          </w:tcPr>
          <w:p w14:paraId="0E25CD23" w14:textId="526E4EA6"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5.9</w:t>
            </w:r>
          </w:p>
        </w:tc>
      </w:tr>
      <w:tr w:rsidR="003E068C" w:rsidRPr="003E068C" w14:paraId="49986665" w14:textId="77777777" w:rsidTr="00C41ABE">
        <w:trPr>
          <w:gridAfter w:val="1"/>
          <w:wAfter w:w="7" w:type="dxa"/>
          <w:jc w:val="center"/>
        </w:trPr>
        <w:tc>
          <w:tcPr>
            <w:tcW w:w="851" w:type="dxa"/>
            <w:vMerge/>
            <w:shd w:val="clear" w:color="auto" w:fill="auto"/>
            <w:vAlign w:val="center"/>
            <w:hideMark/>
          </w:tcPr>
          <w:p w14:paraId="13E1ED9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5D63EC9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5D78C5B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7D468573" w14:textId="77777777" w:rsidR="009D39F7" w:rsidRPr="00B878AA" w:rsidRDefault="009D39F7" w:rsidP="003E068C">
            <w:pPr>
              <w:autoSpaceDE w:val="0"/>
              <w:autoSpaceDN w:val="0"/>
              <w:adjustRightInd w:val="0"/>
              <w:snapToGrid w:val="0"/>
              <w:spacing w:line="240" w:lineRule="auto"/>
              <w:jc w:val="center"/>
              <w:rPr>
                <w:rFonts w:eastAsia="Times New Roman"/>
                <w:b/>
                <w:bCs/>
                <w:color w:val="7F7F7F"/>
                <w:sz w:val="16"/>
                <w:szCs w:val="16"/>
                <w:lang w:eastAsia="fr-CA"/>
              </w:rPr>
            </w:pPr>
            <w:r w:rsidRPr="00B878AA">
              <w:rPr>
                <w:rFonts w:eastAsia="Times New Roman"/>
                <w:b/>
                <w:bCs/>
                <w:color w:val="7F7F7F"/>
                <w:sz w:val="16"/>
                <w:szCs w:val="16"/>
                <w:lang w:eastAsia="fr-CA"/>
              </w:rPr>
              <w:t>95</w:t>
            </w:r>
          </w:p>
        </w:tc>
        <w:tc>
          <w:tcPr>
            <w:tcW w:w="567" w:type="dxa"/>
            <w:shd w:val="clear" w:color="auto" w:fill="auto"/>
            <w:noWrap/>
            <w:vAlign w:val="center"/>
            <w:hideMark/>
          </w:tcPr>
          <w:p w14:paraId="157A89E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8.4</w:t>
            </w:r>
          </w:p>
        </w:tc>
        <w:tc>
          <w:tcPr>
            <w:tcW w:w="284" w:type="dxa"/>
            <w:shd w:val="clear" w:color="auto" w:fill="auto"/>
            <w:noWrap/>
            <w:vAlign w:val="center"/>
            <w:hideMark/>
          </w:tcPr>
          <w:p w14:paraId="1909704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7.7</w:t>
            </w:r>
          </w:p>
        </w:tc>
        <w:tc>
          <w:tcPr>
            <w:tcW w:w="850" w:type="dxa"/>
            <w:shd w:val="clear" w:color="auto" w:fill="auto"/>
            <w:noWrap/>
            <w:vAlign w:val="center"/>
          </w:tcPr>
          <w:p w14:paraId="1A26572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237</w:t>
            </w:r>
          </w:p>
        </w:tc>
        <w:tc>
          <w:tcPr>
            <w:tcW w:w="1156" w:type="dxa"/>
            <w:shd w:val="clear" w:color="auto" w:fill="auto"/>
            <w:noWrap/>
            <w:vAlign w:val="center"/>
            <w:hideMark/>
          </w:tcPr>
          <w:p w14:paraId="4BEB0FF8" w14:textId="6BE4A97D"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p>
        </w:tc>
        <w:tc>
          <w:tcPr>
            <w:tcW w:w="838" w:type="dxa"/>
            <w:shd w:val="clear" w:color="auto" w:fill="auto"/>
            <w:noWrap/>
            <w:vAlign w:val="center"/>
            <w:hideMark/>
          </w:tcPr>
          <w:p w14:paraId="13D086E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32</w:t>
            </w:r>
          </w:p>
        </w:tc>
        <w:tc>
          <w:tcPr>
            <w:tcW w:w="851" w:type="dxa"/>
            <w:gridSpan w:val="2"/>
            <w:shd w:val="clear" w:color="auto" w:fill="auto"/>
            <w:noWrap/>
            <w:vAlign w:val="center"/>
            <w:hideMark/>
          </w:tcPr>
          <w:p w14:paraId="41D3C4F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12</w:t>
            </w:r>
          </w:p>
        </w:tc>
        <w:tc>
          <w:tcPr>
            <w:tcW w:w="709" w:type="dxa"/>
            <w:gridSpan w:val="2"/>
            <w:shd w:val="clear" w:color="auto" w:fill="auto"/>
            <w:noWrap/>
            <w:vAlign w:val="center"/>
            <w:hideMark/>
          </w:tcPr>
          <w:p w14:paraId="74377C3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8.9</w:t>
            </w:r>
          </w:p>
        </w:tc>
        <w:tc>
          <w:tcPr>
            <w:tcW w:w="637" w:type="dxa"/>
            <w:gridSpan w:val="2"/>
            <w:shd w:val="clear" w:color="auto" w:fill="auto"/>
            <w:noWrap/>
            <w:vAlign w:val="center"/>
            <w:hideMark/>
          </w:tcPr>
          <w:p w14:paraId="0FA6017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2.3</w:t>
            </w:r>
          </w:p>
        </w:tc>
        <w:tc>
          <w:tcPr>
            <w:tcW w:w="993" w:type="dxa"/>
            <w:gridSpan w:val="2"/>
            <w:shd w:val="clear" w:color="auto" w:fill="auto"/>
            <w:noWrap/>
            <w:vAlign w:val="center"/>
            <w:hideMark/>
          </w:tcPr>
          <w:p w14:paraId="6E92C27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181</w:t>
            </w:r>
          </w:p>
        </w:tc>
        <w:tc>
          <w:tcPr>
            <w:tcW w:w="555" w:type="dxa"/>
            <w:gridSpan w:val="2"/>
            <w:shd w:val="clear" w:color="auto" w:fill="auto"/>
            <w:noWrap/>
            <w:vAlign w:val="center"/>
            <w:hideMark/>
          </w:tcPr>
          <w:p w14:paraId="0F3C1F3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0.6</w:t>
            </w:r>
          </w:p>
        </w:tc>
        <w:tc>
          <w:tcPr>
            <w:tcW w:w="499" w:type="dxa"/>
            <w:gridSpan w:val="2"/>
            <w:shd w:val="clear" w:color="auto" w:fill="auto"/>
            <w:noWrap/>
            <w:vAlign w:val="center"/>
            <w:hideMark/>
          </w:tcPr>
          <w:p w14:paraId="1086206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0.5</w:t>
            </w:r>
          </w:p>
        </w:tc>
        <w:tc>
          <w:tcPr>
            <w:tcW w:w="561" w:type="dxa"/>
            <w:gridSpan w:val="2"/>
            <w:shd w:val="clear" w:color="auto" w:fill="auto"/>
            <w:noWrap/>
            <w:vAlign w:val="center"/>
          </w:tcPr>
          <w:p w14:paraId="0494E0D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23.3</w:t>
            </w:r>
          </w:p>
        </w:tc>
        <w:tc>
          <w:tcPr>
            <w:tcW w:w="706" w:type="dxa"/>
            <w:gridSpan w:val="2"/>
            <w:shd w:val="clear" w:color="auto" w:fill="auto"/>
            <w:noWrap/>
            <w:vAlign w:val="center"/>
          </w:tcPr>
          <w:p w14:paraId="5E82430A" w14:textId="49A3F9D1"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81.80</w:t>
            </w:r>
          </w:p>
        </w:tc>
        <w:tc>
          <w:tcPr>
            <w:tcW w:w="728" w:type="dxa"/>
            <w:gridSpan w:val="2"/>
            <w:shd w:val="clear" w:color="auto" w:fill="auto"/>
            <w:noWrap/>
            <w:vAlign w:val="center"/>
          </w:tcPr>
          <w:p w14:paraId="4652B38B" w14:textId="30566EF0"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12.07</w:t>
            </w:r>
          </w:p>
        </w:tc>
        <w:tc>
          <w:tcPr>
            <w:tcW w:w="603" w:type="dxa"/>
            <w:gridSpan w:val="2"/>
            <w:shd w:val="clear" w:color="auto" w:fill="auto"/>
            <w:noWrap/>
            <w:vAlign w:val="center"/>
          </w:tcPr>
          <w:p w14:paraId="6DBEBE53" w14:textId="0C4D3279"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6.6</w:t>
            </w:r>
          </w:p>
        </w:tc>
      </w:tr>
      <w:tr w:rsidR="003E068C" w:rsidRPr="003E068C" w14:paraId="45EB0EDA" w14:textId="77777777" w:rsidTr="00C41ABE">
        <w:trPr>
          <w:gridAfter w:val="1"/>
          <w:wAfter w:w="7" w:type="dxa"/>
          <w:jc w:val="center"/>
        </w:trPr>
        <w:tc>
          <w:tcPr>
            <w:tcW w:w="851" w:type="dxa"/>
            <w:vMerge/>
            <w:shd w:val="clear" w:color="auto" w:fill="auto"/>
            <w:vAlign w:val="center"/>
            <w:hideMark/>
          </w:tcPr>
          <w:p w14:paraId="769D0E6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val="restart"/>
            <w:shd w:val="clear" w:color="auto" w:fill="auto"/>
            <w:vAlign w:val="center"/>
            <w:hideMark/>
          </w:tcPr>
          <w:p w14:paraId="023F4E5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Ormstown</w:t>
            </w:r>
          </w:p>
        </w:tc>
        <w:tc>
          <w:tcPr>
            <w:tcW w:w="747" w:type="dxa"/>
            <w:vMerge w:val="restart"/>
            <w:shd w:val="clear" w:color="auto" w:fill="auto"/>
            <w:noWrap/>
            <w:vAlign w:val="center"/>
            <w:hideMark/>
          </w:tcPr>
          <w:p w14:paraId="51ADBC1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Dumas 10</w:t>
            </w:r>
          </w:p>
        </w:tc>
        <w:tc>
          <w:tcPr>
            <w:tcW w:w="950" w:type="dxa"/>
            <w:shd w:val="clear" w:color="auto" w:fill="auto"/>
            <w:noWrap/>
            <w:vAlign w:val="center"/>
            <w:hideMark/>
          </w:tcPr>
          <w:p w14:paraId="1116BA8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10</w:t>
            </w:r>
          </w:p>
        </w:tc>
        <w:tc>
          <w:tcPr>
            <w:tcW w:w="567" w:type="dxa"/>
            <w:shd w:val="clear" w:color="auto" w:fill="auto"/>
            <w:noWrap/>
            <w:vAlign w:val="center"/>
            <w:hideMark/>
          </w:tcPr>
          <w:p w14:paraId="2FFF49B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8.2</w:t>
            </w:r>
          </w:p>
        </w:tc>
        <w:tc>
          <w:tcPr>
            <w:tcW w:w="284" w:type="dxa"/>
            <w:shd w:val="clear" w:color="auto" w:fill="auto"/>
            <w:noWrap/>
            <w:vAlign w:val="center"/>
            <w:hideMark/>
          </w:tcPr>
          <w:p w14:paraId="6FBB44B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7.5</w:t>
            </w:r>
          </w:p>
        </w:tc>
        <w:tc>
          <w:tcPr>
            <w:tcW w:w="850" w:type="dxa"/>
            <w:shd w:val="clear" w:color="auto" w:fill="auto"/>
            <w:noWrap/>
            <w:vAlign w:val="center"/>
          </w:tcPr>
          <w:p w14:paraId="7E4942B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553</w:t>
            </w:r>
          </w:p>
        </w:tc>
        <w:tc>
          <w:tcPr>
            <w:tcW w:w="1156" w:type="dxa"/>
            <w:shd w:val="clear" w:color="auto" w:fill="auto"/>
            <w:noWrap/>
            <w:vAlign w:val="center"/>
            <w:hideMark/>
          </w:tcPr>
          <w:p w14:paraId="5B91D6C6" w14:textId="7EF085EC"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 </w:t>
            </w:r>
            <w:r w:rsidR="002529A5" w:rsidRPr="00A45811">
              <w:rPr>
                <w:rFonts w:eastAsia="Times New Roman"/>
                <w:sz w:val="16"/>
                <w:szCs w:val="16"/>
                <w:lang w:eastAsia="fr-CA"/>
              </w:rPr>
              <w:t>–</w:t>
            </w:r>
            <w:r w:rsidRPr="00A45811">
              <w:rPr>
                <w:rFonts w:eastAsia="Times New Roman"/>
                <w:sz w:val="16"/>
                <w:szCs w:val="16"/>
                <w:lang w:eastAsia="fr-CA"/>
              </w:rPr>
              <w:t xml:space="preserve"> SO</w:t>
            </w:r>
            <w:r w:rsidRPr="00A45811">
              <w:rPr>
                <w:rFonts w:eastAsia="Times New Roman"/>
                <w:sz w:val="16"/>
                <w:szCs w:val="16"/>
                <w:vertAlign w:val="subscript"/>
                <w:lang w:eastAsia="fr-CA"/>
              </w:rPr>
              <w:t>4</w:t>
            </w:r>
            <w:r w:rsidRPr="00A45811">
              <w:rPr>
                <w:rFonts w:eastAsia="Times New Roman"/>
                <w:sz w:val="16"/>
                <w:szCs w:val="16"/>
                <w:lang w:eastAsia="fr-CA"/>
              </w:rPr>
              <w:t>,HCO</w:t>
            </w:r>
            <w:r w:rsidRPr="00A45811">
              <w:rPr>
                <w:rFonts w:eastAsia="Times New Roman"/>
                <w:sz w:val="16"/>
                <w:szCs w:val="16"/>
                <w:vertAlign w:val="subscript"/>
                <w:lang w:eastAsia="fr-CA"/>
              </w:rPr>
              <w:t>3</w:t>
            </w:r>
          </w:p>
        </w:tc>
        <w:tc>
          <w:tcPr>
            <w:tcW w:w="838" w:type="dxa"/>
            <w:shd w:val="clear" w:color="auto" w:fill="auto"/>
            <w:noWrap/>
            <w:vAlign w:val="center"/>
            <w:hideMark/>
          </w:tcPr>
          <w:p w14:paraId="04E957D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100</w:t>
            </w:r>
          </w:p>
        </w:tc>
        <w:tc>
          <w:tcPr>
            <w:tcW w:w="851" w:type="dxa"/>
            <w:gridSpan w:val="2"/>
            <w:shd w:val="clear" w:color="auto" w:fill="auto"/>
            <w:noWrap/>
            <w:vAlign w:val="center"/>
            <w:hideMark/>
          </w:tcPr>
          <w:p w14:paraId="06DC0B9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21</w:t>
            </w:r>
          </w:p>
        </w:tc>
        <w:tc>
          <w:tcPr>
            <w:tcW w:w="709" w:type="dxa"/>
            <w:gridSpan w:val="2"/>
            <w:shd w:val="clear" w:color="auto" w:fill="auto"/>
            <w:noWrap/>
            <w:vAlign w:val="center"/>
            <w:hideMark/>
          </w:tcPr>
          <w:p w14:paraId="42B50E3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16</w:t>
            </w:r>
          </w:p>
        </w:tc>
        <w:tc>
          <w:tcPr>
            <w:tcW w:w="637" w:type="dxa"/>
            <w:gridSpan w:val="2"/>
            <w:shd w:val="clear" w:color="auto" w:fill="auto"/>
            <w:noWrap/>
            <w:vAlign w:val="center"/>
            <w:hideMark/>
          </w:tcPr>
          <w:p w14:paraId="36F06CC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4.9</w:t>
            </w:r>
          </w:p>
        </w:tc>
        <w:tc>
          <w:tcPr>
            <w:tcW w:w="993" w:type="dxa"/>
            <w:gridSpan w:val="2"/>
            <w:shd w:val="clear" w:color="auto" w:fill="auto"/>
            <w:noWrap/>
            <w:vAlign w:val="center"/>
            <w:hideMark/>
          </w:tcPr>
          <w:p w14:paraId="408A5C6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187</w:t>
            </w:r>
          </w:p>
        </w:tc>
        <w:tc>
          <w:tcPr>
            <w:tcW w:w="555" w:type="dxa"/>
            <w:gridSpan w:val="2"/>
            <w:shd w:val="clear" w:color="auto" w:fill="auto"/>
            <w:noWrap/>
            <w:vAlign w:val="center"/>
            <w:hideMark/>
          </w:tcPr>
          <w:p w14:paraId="1708695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14</w:t>
            </w:r>
          </w:p>
        </w:tc>
        <w:tc>
          <w:tcPr>
            <w:tcW w:w="499" w:type="dxa"/>
            <w:gridSpan w:val="2"/>
            <w:shd w:val="clear" w:color="auto" w:fill="auto"/>
            <w:noWrap/>
            <w:vAlign w:val="center"/>
            <w:hideMark/>
          </w:tcPr>
          <w:p w14:paraId="38BCDFE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210</w:t>
            </w:r>
          </w:p>
        </w:tc>
        <w:tc>
          <w:tcPr>
            <w:tcW w:w="561" w:type="dxa"/>
            <w:gridSpan w:val="2"/>
            <w:shd w:val="clear" w:color="auto" w:fill="auto"/>
            <w:noWrap/>
            <w:vAlign w:val="center"/>
          </w:tcPr>
          <w:p w14:paraId="40E58EF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1.8</w:t>
            </w:r>
          </w:p>
        </w:tc>
        <w:tc>
          <w:tcPr>
            <w:tcW w:w="706" w:type="dxa"/>
            <w:gridSpan w:val="2"/>
            <w:shd w:val="clear" w:color="auto" w:fill="auto"/>
            <w:noWrap/>
            <w:vAlign w:val="center"/>
          </w:tcPr>
          <w:p w14:paraId="41AA2D23" w14:textId="20804B9C"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82.83</w:t>
            </w:r>
          </w:p>
        </w:tc>
        <w:tc>
          <w:tcPr>
            <w:tcW w:w="728" w:type="dxa"/>
            <w:gridSpan w:val="2"/>
            <w:shd w:val="clear" w:color="auto" w:fill="auto"/>
            <w:noWrap/>
            <w:vAlign w:val="center"/>
          </w:tcPr>
          <w:p w14:paraId="38927347" w14:textId="0744BC2F"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12.12</w:t>
            </w:r>
          </w:p>
        </w:tc>
        <w:tc>
          <w:tcPr>
            <w:tcW w:w="603" w:type="dxa"/>
            <w:gridSpan w:val="2"/>
            <w:shd w:val="clear" w:color="auto" w:fill="auto"/>
            <w:noWrap/>
            <w:vAlign w:val="center"/>
          </w:tcPr>
          <w:p w14:paraId="655D4348" w14:textId="1493B3F0"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12.9</w:t>
            </w:r>
          </w:p>
        </w:tc>
      </w:tr>
      <w:tr w:rsidR="003E068C" w:rsidRPr="003E068C" w14:paraId="4B292DC4" w14:textId="77777777" w:rsidTr="00C41ABE">
        <w:trPr>
          <w:gridAfter w:val="1"/>
          <w:wAfter w:w="7" w:type="dxa"/>
          <w:jc w:val="center"/>
        </w:trPr>
        <w:tc>
          <w:tcPr>
            <w:tcW w:w="851" w:type="dxa"/>
            <w:vMerge/>
            <w:shd w:val="clear" w:color="auto" w:fill="auto"/>
            <w:vAlign w:val="center"/>
            <w:hideMark/>
          </w:tcPr>
          <w:p w14:paraId="65A5980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1CC67F1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0607605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6406C2AA" w14:textId="77777777" w:rsidR="009D39F7" w:rsidRPr="00B878AA" w:rsidRDefault="009D39F7" w:rsidP="003E068C">
            <w:pPr>
              <w:autoSpaceDE w:val="0"/>
              <w:autoSpaceDN w:val="0"/>
              <w:adjustRightInd w:val="0"/>
              <w:snapToGrid w:val="0"/>
              <w:spacing w:line="240" w:lineRule="auto"/>
              <w:jc w:val="center"/>
              <w:rPr>
                <w:rFonts w:eastAsia="Times New Roman"/>
                <w:b/>
                <w:sz w:val="16"/>
                <w:szCs w:val="16"/>
                <w:lang w:eastAsia="fr-CA"/>
              </w:rPr>
            </w:pPr>
            <w:r w:rsidRPr="00B878AA">
              <w:rPr>
                <w:rFonts w:eastAsia="Times New Roman"/>
                <w:b/>
                <w:sz w:val="16"/>
                <w:szCs w:val="16"/>
                <w:lang w:eastAsia="fr-CA"/>
              </w:rPr>
              <w:t>60</w:t>
            </w:r>
          </w:p>
        </w:tc>
        <w:tc>
          <w:tcPr>
            <w:tcW w:w="567" w:type="dxa"/>
            <w:shd w:val="clear" w:color="auto" w:fill="auto"/>
            <w:noWrap/>
            <w:vAlign w:val="center"/>
            <w:hideMark/>
          </w:tcPr>
          <w:p w14:paraId="7266D94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8.2</w:t>
            </w:r>
          </w:p>
        </w:tc>
        <w:tc>
          <w:tcPr>
            <w:tcW w:w="284" w:type="dxa"/>
            <w:shd w:val="clear" w:color="auto" w:fill="auto"/>
            <w:noWrap/>
            <w:vAlign w:val="center"/>
            <w:hideMark/>
          </w:tcPr>
          <w:p w14:paraId="6EAAA41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7.5</w:t>
            </w:r>
          </w:p>
        </w:tc>
        <w:tc>
          <w:tcPr>
            <w:tcW w:w="850" w:type="dxa"/>
            <w:shd w:val="clear" w:color="auto" w:fill="auto"/>
            <w:noWrap/>
            <w:vAlign w:val="center"/>
          </w:tcPr>
          <w:p w14:paraId="2365761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580</w:t>
            </w:r>
          </w:p>
        </w:tc>
        <w:tc>
          <w:tcPr>
            <w:tcW w:w="1156" w:type="dxa"/>
            <w:shd w:val="clear" w:color="auto" w:fill="auto"/>
            <w:noWrap/>
            <w:vAlign w:val="center"/>
            <w:hideMark/>
          </w:tcPr>
          <w:p w14:paraId="0670670A" w14:textId="73E1276E"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 </w:t>
            </w:r>
            <w:r w:rsidR="002529A5" w:rsidRPr="00A45811">
              <w:rPr>
                <w:rFonts w:eastAsia="Times New Roman"/>
                <w:sz w:val="16"/>
                <w:szCs w:val="16"/>
                <w:lang w:eastAsia="fr-CA"/>
              </w:rPr>
              <w:t>–</w:t>
            </w:r>
            <w:r w:rsidRPr="00A45811">
              <w:rPr>
                <w:rFonts w:eastAsia="Times New Roman"/>
                <w:sz w:val="16"/>
                <w:szCs w:val="16"/>
                <w:lang w:eastAsia="fr-CA"/>
              </w:rPr>
              <w:t xml:space="preserve"> SO</w:t>
            </w:r>
            <w:r w:rsidRPr="00A45811">
              <w:rPr>
                <w:rFonts w:eastAsia="Times New Roman"/>
                <w:sz w:val="16"/>
                <w:szCs w:val="16"/>
                <w:vertAlign w:val="subscript"/>
                <w:lang w:eastAsia="fr-CA"/>
              </w:rPr>
              <w:t>4</w:t>
            </w:r>
            <w:r w:rsidRPr="00A45811">
              <w:rPr>
                <w:rFonts w:eastAsia="Times New Roman"/>
                <w:sz w:val="16"/>
                <w:szCs w:val="16"/>
                <w:lang w:eastAsia="fr-CA"/>
              </w:rPr>
              <w:t>,HCO</w:t>
            </w:r>
            <w:r w:rsidRPr="00A45811">
              <w:rPr>
                <w:rFonts w:eastAsia="Times New Roman"/>
                <w:sz w:val="16"/>
                <w:szCs w:val="16"/>
                <w:vertAlign w:val="subscript"/>
                <w:lang w:eastAsia="fr-CA"/>
              </w:rPr>
              <w:t>3</w:t>
            </w:r>
          </w:p>
        </w:tc>
        <w:tc>
          <w:tcPr>
            <w:tcW w:w="838" w:type="dxa"/>
            <w:shd w:val="clear" w:color="auto" w:fill="auto"/>
            <w:noWrap/>
            <w:vAlign w:val="center"/>
            <w:hideMark/>
          </w:tcPr>
          <w:p w14:paraId="212DA8D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110</w:t>
            </w:r>
          </w:p>
        </w:tc>
        <w:tc>
          <w:tcPr>
            <w:tcW w:w="851" w:type="dxa"/>
            <w:gridSpan w:val="2"/>
            <w:shd w:val="clear" w:color="auto" w:fill="auto"/>
            <w:noWrap/>
            <w:vAlign w:val="center"/>
            <w:hideMark/>
          </w:tcPr>
          <w:p w14:paraId="6FB2775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19</w:t>
            </w:r>
          </w:p>
        </w:tc>
        <w:tc>
          <w:tcPr>
            <w:tcW w:w="709" w:type="dxa"/>
            <w:gridSpan w:val="2"/>
            <w:shd w:val="clear" w:color="auto" w:fill="auto"/>
            <w:noWrap/>
            <w:vAlign w:val="center"/>
            <w:hideMark/>
          </w:tcPr>
          <w:p w14:paraId="2C99833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15</w:t>
            </w:r>
          </w:p>
        </w:tc>
        <w:tc>
          <w:tcPr>
            <w:tcW w:w="637" w:type="dxa"/>
            <w:gridSpan w:val="2"/>
            <w:shd w:val="clear" w:color="auto" w:fill="auto"/>
            <w:noWrap/>
            <w:vAlign w:val="center"/>
            <w:hideMark/>
          </w:tcPr>
          <w:p w14:paraId="184BFF2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4.7</w:t>
            </w:r>
          </w:p>
        </w:tc>
        <w:tc>
          <w:tcPr>
            <w:tcW w:w="993" w:type="dxa"/>
            <w:gridSpan w:val="2"/>
            <w:shd w:val="clear" w:color="auto" w:fill="auto"/>
            <w:noWrap/>
            <w:vAlign w:val="center"/>
            <w:hideMark/>
          </w:tcPr>
          <w:p w14:paraId="3687F55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199</w:t>
            </w:r>
          </w:p>
        </w:tc>
        <w:tc>
          <w:tcPr>
            <w:tcW w:w="555" w:type="dxa"/>
            <w:gridSpan w:val="2"/>
            <w:shd w:val="clear" w:color="auto" w:fill="auto"/>
            <w:noWrap/>
            <w:vAlign w:val="center"/>
            <w:hideMark/>
          </w:tcPr>
          <w:p w14:paraId="18DB448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12</w:t>
            </w:r>
          </w:p>
        </w:tc>
        <w:tc>
          <w:tcPr>
            <w:tcW w:w="499" w:type="dxa"/>
            <w:gridSpan w:val="2"/>
            <w:shd w:val="clear" w:color="auto" w:fill="auto"/>
            <w:noWrap/>
            <w:vAlign w:val="center"/>
            <w:hideMark/>
          </w:tcPr>
          <w:p w14:paraId="2EE18F1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220</w:t>
            </w:r>
          </w:p>
        </w:tc>
        <w:tc>
          <w:tcPr>
            <w:tcW w:w="561" w:type="dxa"/>
            <w:gridSpan w:val="2"/>
            <w:shd w:val="clear" w:color="auto" w:fill="auto"/>
            <w:noWrap/>
            <w:vAlign w:val="center"/>
          </w:tcPr>
          <w:p w14:paraId="1E3A61B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1.9</w:t>
            </w:r>
          </w:p>
        </w:tc>
        <w:tc>
          <w:tcPr>
            <w:tcW w:w="706" w:type="dxa"/>
            <w:gridSpan w:val="2"/>
            <w:shd w:val="clear" w:color="auto" w:fill="auto"/>
            <w:noWrap/>
            <w:vAlign w:val="center"/>
          </w:tcPr>
          <w:p w14:paraId="40C33120" w14:textId="20993804"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83.49</w:t>
            </w:r>
          </w:p>
        </w:tc>
        <w:tc>
          <w:tcPr>
            <w:tcW w:w="728" w:type="dxa"/>
            <w:gridSpan w:val="2"/>
            <w:shd w:val="clear" w:color="auto" w:fill="auto"/>
            <w:noWrap/>
            <w:vAlign w:val="center"/>
          </w:tcPr>
          <w:p w14:paraId="1B406055" w14:textId="6973134A"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11.71</w:t>
            </w:r>
          </w:p>
        </w:tc>
        <w:tc>
          <w:tcPr>
            <w:tcW w:w="603" w:type="dxa"/>
            <w:gridSpan w:val="2"/>
            <w:shd w:val="clear" w:color="auto" w:fill="auto"/>
            <w:noWrap/>
            <w:vAlign w:val="center"/>
          </w:tcPr>
          <w:p w14:paraId="0FBC703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r>
      <w:tr w:rsidR="003E068C" w:rsidRPr="003E068C" w14:paraId="33153DC8" w14:textId="77777777" w:rsidTr="00C41ABE">
        <w:trPr>
          <w:gridAfter w:val="1"/>
          <w:wAfter w:w="7" w:type="dxa"/>
          <w:jc w:val="center"/>
        </w:trPr>
        <w:tc>
          <w:tcPr>
            <w:tcW w:w="851" w:type="dxa"/>
            <w:vMerge/>
            <w:shd w:val="clear" w:color="auto" w:fill="auto"/>
            <w:vAlign w:val="center"/>
            <w:hideMark/>
          </w:tcPr>
          <w:p w14:paraId="05CD9ED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3C540B8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7F4C11C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2454407D" w14:textId="77777777" w:rsidR="009D39F7" w:rsidRPr="00B878AA" w:rsidRDefault="009D39F7" w:rsidP="003E068C">
            <w:pPr>
              <w:autoSpaceDE w:val="0"/>
              <w:autoSpaceDN w:val="0"/>
              <w:adjustRightInd w:val="0"/>
              <w:snapToGrid w:val="0"/>
              <w:spacing w:line="240" w:lineRule="auto"/>
              <w:jc w:val="center"/>
              <w:rPr>
                <w:rFonts w:eastAsia="Times New Roman"/>
                <w:b/>
                <w:sz w:val="16"/>
                <w:szCs w:val="16"/>
                <w:lang w:eastAsia="fr-CA"/>
              </w:rPr>
            </w:pPr>
            <w:r w:rsidRPr="00B878AA">
              <w:rPr>
                <w:rFonts w:eastAsia="Times New Roman"/>
                <w:b/>
                <w:sz w:val="16"/>
                <w:szCs w:val="16"/>
                <w:lang w:eastAsia="fr-CA"/>
              </w:rPr>
              <w:t>80</w:t>
            </w:r>
          </w:p>
        </w:tc>
        <w:tc>
          <w:tcPr>
            <w:tcW w:w="567" w:type="dxa"/>
            <w:shd w:val="clear" w:color="auto" w:fill="auto"/>
            <w:noWrap/>
            <w:vAlign w:val="center"/>
            <w:hideMark/>
          </w:tcPr>
          <w:p w14:paraId="4F3AD2D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8.2</w:t>
            </w:r>
          </w:p>
        </w:tc>
        <w:tc>
          <w:tcPr>
            <w:tcW w:w="284" w:type="dxa"/>
            <w:shd w:val="clear" w:color="auto" w:fill="auto"/>
            <w:noWrap/>
            <w:vAlign w:val="center"/>
            <w:hideMark/>
          </w:tcPr>
          <w:p w14:paraId="1EB7CE1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7.4</w:t>
            </w:r>
          </w:p>
        </w:tc>
        <w:tc>
          <w:tcPr>
            <w:tcW w:w="850" w:type="dxa"/>
            <w:shd w:val="clear" w:color="auto" w:fill="auto"/>
            <w:noWrap/>
            <w:vAlign w:val="center"/>
          </w:tcPr>
          <w:p w14:paraId="0C68FFA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610</w:t>
            </w:r>
          </w:p>
        </w:tc>
        <w:tc>
          <w:tcPr>
            <w:tcW w:w="1156" w:type="dxa"/>
            <w:shd w:val="clear" w:color="auto" w:fill="auto"/>
            <w:noWrap/>
            <w:vAlign w:val="center"/>
            <w:hideMark/>
          </w:tcPr>
          <w:p w14:paraId="33235F5D" w14:textId="73CC4176"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 </w:t>
            </w:r>
            <w:r w:rsidR="002529A5" w:rsidRPr="00A45811">
              <w:rPr>
                <w:rFonts w:eastAsia="Times New Roman"/>
                <w:sz w:val="16"/>
                <w:szCs w:val="16"/>
                <w:lang w:eastAsia="fr-CA"/>
              </w:rPr>
              <w:t>–</w:t>
            </w:r>
            <w:r w:rsidRPr="00A45811">
              <w:rPr>
                <w:rFonts w:eastAsia="Times New Roman"/>
                <w:sz w:val="16"/>
                <w:szCs w:val="16"/>
                <w:lang w:eastAsia="fr-CA"/>
              </w:rPr>
              <w:t xml:space="preserve"> SO</w:t>
            </w:r>
            <w:r w:rsidRPr="00A45811">
              <w:rPr>
                <w:rFonts w:eastAsia="Times New Roman"/>
                <w:sz w:val="16"/>
                <w:szCs w:val="16"/>
                <w:vertAlign w:val="subscript"/>
                <w:lang w:eastAsia="fr-CA"/>
              </w:rPr>
              <w:t>4</w:t>
            </w:r>
            <w:r w:rsidRPr="00A45811">
              <w:rPr>
                <w:rFonts w:eastAsia="Times New Roman"/>
                <w:sz w:val="16"/>
                <w:szCs w:val="16"/>
                <w:lang w:eastAsia="fr-CA"/>
              </w:rPr>
              <w:t>,HCO</w:t>
            </w:r>
            <w:r w:rsidRPr="00A45811">
              <w:rPr>
                <w:rFonts w:eastAsia="Times New Roman"/>
                <w:sz w:val="16"/>
                <w:szCs w:val="16"/>
                <w:vertAlign w:val="subscript"/>
                <w:lang w:eastAsia="fr-CA"/>
              </w:rPr>
              <w:t>3</w:t>
            </w:r>
          </w:p>
        </w:tc>
        <w:tc>
          <w:tcPr>
            <w:tcW w:w="838" w:type="dxa"/>
            <w:shd w:val="clear" w:color="auto" w:fill="auto"/>
            <w:noWrap/>
            <w:vAlign w:val="center"/>
            <w:hideMark/>
          </w:tcPr>
          <w:p w14:paraId="6F0E3C2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120</w:t>
            </w:r>
          </w:p>
        </w:tc>
        <w:tc>
          <w:tcPr>
            <w:tcW w:w="851" w:type="dxa"/>
            <w:gridSpan w:val="2"/>
            <w:shd w:val="clear" w:color="auto" w:fill="auto"/>
            <w:noWrap/>
            <w:vAlign w:val="center"/>
            <w:hideMark/>
          </w:tcPr>
          <w:p w14:paraId="1026044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20</w:t>
            </w:r>
          </w:p>
        </w:tc>
        <w:tc>
          <w:tcPr>
            <w:tcW w:w="709" w:type="dxa"/>
            <w:gridSpan w:val="2"/>
            <w:shd w:val="clear" w:color="auto" w:fill="auto"/>
            <w:noWrap/>
            <w:vAlign w:val="center"/>
            <w:hideMark/>
          </w:tcPr>
          <w:p w14:paraId="1D7DD6B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15</w:t>
            </w:r>
          </w:p>
        </w:tc>
        <w:tc>
          <w:tcPr>
            <w:tcW w:w="637" w:type="dxa"/>
            <w:gridSpan w:val="2"/>
            <w:shd w:val="clear" w:color="auto" w:fill="auto"/>
            <w:noWrap/>
            <w:vAlign w:val="center"/>
            <w:hideMark/>
          </w:tcPr>
          <w:p w14:paraId="7FA28DD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4.6</w:t>
            </w:r>
          </w:p>
        </w:tc>
        <w:tc>
          <w:tcPr>
            <w:tcW w:w="993" w:type="dxa"/>
            <w:gridSpan w:val="2"/>
            <w:shd w:val="clear" w:color="auto" w:fill="auto"/>
            <w:noWrap/>
            <w:vAlign w:val="center"/>
            <w:hideMark/>
          </w:tcPr>
          <w:p w14:paraId="1A28FBE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168</w:t>
            </w:r>
          </w:p>
        </w:tc>
        <w:tc>
          <w:tcPr>
            <w:tcW w:w="555" w:type="dxa"/>
            <w:gridSpan w:val="2"/>
            <w:shd w:val="clear" w:color="auto" w:fill="auto"/>
            <w:noWrap/>
            <w:vAlign w:val="center"/>
            <w:hideMark/>
          </w:tcPr>
          <w:p w14:paraId="3155863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13</w:t>
            </w:r>
          </w:p>
        </w:tc>
        <w:tc>
          <w:tcPr>
            <w:tcW w:w="499" w:type="dxa"/>
            <w:gridSpan w:val="2"/>
            <w:shd w:val="clear" w:color="auto" w:fill="auto"/>
            <w:noWrap/>
            <w:vAlign w:val="center"/>
            <w:hideMark/>
          </w:tcPr>
          <w:p w14:paraId="3909F08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270</w:t>
            </w:r>
          </w:p>
        </w:tc>
        <w:tc>
          <w:tcPr>
            <w:tcW w:w="561" w:type="dxa"/>
            <w:gridSpan w:val="2"/>
            <w:shd w:val="clear" w:color="auto" w:fill="auto"/>
            <w:noWrap/>
            <w:vAlign w:val="center"/>
          </w:tcPr>
          <w:p w14:paraId="4D5C2B2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1.8</w:t>
            </w:r>
          </w:p>
        </w:tc>
        <w:tc>
          <w:tcPr>
            <w:tcW w:w="706" w:type="dxa"/>
            <w:gridSpan w:val="2"/>
            <w:shd w:val="clear" w:color="auto" w:fill="auto"/>
            <w:noWrap/>
            <w:vAlign w:val="center"/>
          </w:tcPr>
          <w:p w14:paraId="63F04A09" w14:textId="3A7C956C"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83.14</w:t>
            </w:r>
          </w:p>
        </w:tc>
        <w:tc>
          <w:tcPr>
            <w:tcW w:w="728" w:type="dxa"/>
            <w:gridSpan w:val="2"/>
            <w:shd w:val="clear" w:color="auto" w:fill="auto"/>
            <w:noWrap/>
            <w:vAlign w:val="center"/>
          </w:tcPr>
          <w:p w14:paraId="1455376E" w14:textId="559E62BF"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12.23</w:t>
            </w:r>
          </w:p>
        </w:tc>
        <w:tc>
          <w:tcPr>
            <w:tcW w:w="603" w:type="dxa"/>
            <w:gridSpan w:val="2"/>
            <w:shd w:val="clear" w:color="auto" w:fill="auto"/>
            <w:noWrap/>
            <w:vAlign w:val="center"/>
          </w:tcPr>
          <w:p w14:paraId="243C299D" w14:textId="7FB21A33"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r>
      <w:tr w:rsidR="00B878AA" w:rsidRPr="003E068C" w14:paraId="7AE402B9" w14:textId="77777777" w:rsidTr="00C41ABE">
        <w:trPr>
          <w:gridAfter w:val="1"/>
          <w:wAfter w:w="7" w:type="dxa"/>
          <w:jc w:val="center"/>
        </w:trPr>
        <w:tc>
          <w:tcPr>
            <w:tcW w:w="851" w:type="dxa"/>
            <w:vMerge w:val="restart"/>
            <w:shd w:val="clear" w:color="auto" w:fill="auto"/>
            <w:noWrap/>
            <w:vAlign w:val="center"/>
            <w:hideMark/>
          </w:tcPr>
          <w:p w14:paraId="50F0020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Dolomite</w:t>
            </w:r>
          </w:p>
        </w:tc>
        <w:tc>
          <w:tcPr>
            <w:tcW w:w="931" w:type="dxa"/>
            <w:vMerge w:val="restart"/>
            <w:shd w:val="clear" w:color="auto" w:fill="auto"/>
            <w:vAlign w:val="center"/>
            <w:hideMark/>
          </w:tcPr>
          <w:p w14:paraId="228A1D8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Napierville</w:t>
            </w:r>
          </w:p>
        </w:tc>
        <w:tc>
          <w:tcPr>
            <w:tcW w:w="747" w:type="dxa"/>
            <w:vMerge w:val="restart"/>
            <w:shd w:val="clear" w:color="auto" w:fill="auto"/>
            <w:noWrap/>
            <w:vAlign w:val="center"/>
            <w:hideMark/>
          </w:tcPr>
          <w:p w14:paraId="279CC31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P6</w:t>
            </w:r>
          </w:p>
        </w:tc>
        <w:tc>
          <w:tcPr>
            <w:tcW w:w="950" w:type="dxa"/>
            <w:shd w:val="clear" w:color="auto" w:fill="auto"/>
            <w:noWrap/>
            <w:vAlign w:val="center"/>
            <w:hideMark/>
          </w:tcPr>
          <w:p w14:paraId="43F49EB9" w14:textId="77777777" w:rsidR="009D39F7" w:rsidRPr="00B878AA" w:rsidRDefault="009D39F7" w:rsidP="003E068C">
            <w:pPr>
              <w:autoSpaceDE w:val="0"/>
              <w:autoSpaceDN w:val="0"/>
              <w:adjustRightInd w:val="0"/>
              <w:snapToGrid w:val="0"/>
              <w:spacing w:line="240" w:lineRule="auto"/>
              <w:jc w:val="center"/>
              <w:rPr>
                <w:rFonts w:eastAsia="Times New Roman"/>
                <w:b/>
                <w:sz w:val="16"/>
                <w:szCs w:val="16"/>
                <w:lang w:eastAsia="fr-CA"/>
              </w:rPr>
            </w:pPr>
            <w:r w:rsidRPr="00B878AA">
              <w:rPr>
                <w:rFonts w:eastAsia="Times New Roman"/>
                <w:b/>
                <w:sz w:val="16"/>
                <w:szCs w:val="16"/>
                <w:lang w:eastAsia="fr-CA"/>
              </w:rPr>
              <w:t>18</w:t>
            </w:r>
          </w:p>
        </w:tc>
        <w:tc>
          <w:tcPr>
            <w:tcW w:w="567" w:type="dxa"/>
            <w:shd w:val="clear" w:color="auto" w:fill="auto"/>
            <w:noWrap/>
            <w:vAlign w:val="center"/>
            <w:hideMark/>
          </w:tcPr>
          <w:p w14:paraId="1A79EB7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8.3</w:t>
            </w:r>
          </w:p>
        </w:tc>
        <w:tc>
          <w:tcPr>
            <w:tcW w:w="284" w:type="dxa"/>
            <w:shd w:val="clear" w:color="auto" w:fill="auto"/>
            <w:noWrap/>
            <w:vAlign w:val="center"/>
            <w:hideMark/>
          </w:tcPr>
          <w:p w14:paraId="524BCA7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7.4</w:t>
            </w:r>
          </w:p>
        </w:tc>
        <w:tc>
          <w:tcPr>
            <w:tcW w:w="850" w:type="dxa"/>
            <w:shd w:val="clear" w:color="auto" w:fill="auto"/>
            <w:noWrap/>
            <w:vAlign w:val="center"/>
          </w:tcPr>
          <w:p w14:paraId="40A2151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2378</w:t>
            </w:r>
          </w:p>
        </w:tc>
        <w:tc>
          <w:tcPr>
            <w:tcW w:w="1156" w:type="dxa"/>
            <w:shd w:val="clear" w:color="auto" w:fill="auto"/>
            <w:noWrap/>
            <w:vAlign w:val="center"/>
            <w:hideMark/>
          </w:tcPr>
          <w:p w14:paraId="250FC423" w14:textId="65CEB561"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SO</w:t>
            </w:r>
            <w:r w:rsidRPr="00A45811">
              <w:rPr>
                <w:rFonts w:eastAsia="Times New Roman"/>
                <w:sz w:val="16"/>
                <w:szCs w:val="16"/>
                <w:vertAlign w:val="subscript"/>
                <w:lang w:eastAsia="fr-CA"/>
              </w:rPr>
              <w:t>4</w:t>
            </w:r>
          </w:p>
        </w:tc>
        <w:tc>
          <w:tcPr>
            <w:tcW w:w="838" w:type="dxa"/>
            <w:shd w:val="clear" w:color="auto" w:fill="auto"/>
            <w:noWrap/>
            <w:vAlign w:val="center"/>
            <w:hideMark/>
          </w:tcPr>
          <w:p w14:paraId="68E42FB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360</w:t>
            </w:r>
          </w:p>
        </w:tc>
        <w:tc>
          <w:tcPr>
            <w:tcW w:w="851" w:type="dxa"/>
            <w:gridSpan w:val="2"/>
            <w:shd w:val="clear" w:color="auto" w:fill="auto"/>
            <w:noWrap/>
            <w:vAlign w:val="center"/>
            <w:hideMark/>
          </w:tcPr>
          <w:p w14:paraId="1507070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120</w:t>
            </w:r>
          </w:p>
        </w:tc>
        <w:tc>
          <w:tcPr>
            <w:tcW w:w="709" w:type="dxa"/>
            <w:gridSpan w:val="2"/>
            <w:shd w:val="clear" w:color="auto" w:fill="auto"/>
            <w:noWrap/>
            <w:vAlign w:val="center"/>
            <w:hideMark/>
          </w:tcPr>
          <w:p w14:paraId="49A63E7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200</w:t>
            </w:r>
          </w:p>
        </w:tc>
        <w:tc>
          <w:tcPr>
            <w:tcW w:w="637" w:type="dxa"/>
            <w:gridSpan w:val="2"/>
            <w:shd w:val="clear" w:color="auto" w:fill="auto"/>
            <w:noWrap/>
            <w:vAlign w:val="center"/>
            <w:hideMark/>
          </w:tcPr>
          <w:p w14:paraId="09B70C5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8.5</w:t>
            </w:r>
          </w:p>
        </w:tc>
        <w:tc>
          <w:tcPr>
            <w:tcW w:w="993" w:type="dxa"/>
            <w:gridSpan w:val="2"/>
            <w:shd w:val="clear" w:color="auto" w:fill="auto"/>
            <w:noWrap/>
            <w:vAlign w:val="center"/>
            <w:hideMark/>
          </w:tcPr>
          <w:p w14:paraId="4E600B9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193</w:t>
            </w:r>
          </w:p>
        </w:tc>
        <w:tc>
          <w:tcPr>
            <w:tcW w:w="555" w:type="dxa"/>
            <w:gridSpan w:val="2"/>
            <w:shd w:val="clear" w:color="auto" w:fill="auto"/>
            <w:noWrap/>
            <w:vAlign w:val="center"/>
            <w:hideMark/>
          </w:tcPr>
          <w:p w14:paraId="55A87D7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96</w:t>
            </w:r>
          </w:p>
        </w:tc>
        <w:tc>
          <w:tcPr>
            <w:tcW w:w="499" w:type="dxa"/>
            <w:gridSpan w:val="2"/>
            <w:shd w:val="clear" w:color="auto" w:fill="auto"/>
            <w:noWrap/>
            <w:vAlign w:val="center"/>
            <w:hideMark/>
          </w:tcPr>
          <w:p w14:paraId="3BE2E6A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1400</w:t>
            </w:r>
          </w:p>
        </w:tc>
        <w:tc>
          <w:tcPr>
            <w:tcW w:w="561" w:type="dxa"/>
            <w:gridSpan w:val="2"/>
            <w:shd w:val="clear" w:color="auto" w:fill="auto"/>
            <w:noWrap/>
            <w:vAlign w:val="center"/>
          </w:tcPr>
          <w:p w14:paraId="0AB737A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3.2</w:t>
            </w:r>
          </w:p>
        </w:tc>
        <w:tc>
          <w:tcPr>
            <w:tcW w:w="706" w:type="dxa"/>
            <w:gridSpan w:val="2"/>
            <w:shd w:val="clear" w:color="auto" w:fill="auto"/>
            <w:noWrap/>
            <w:vAlign w:val="center"/>
          </w:tcPr>
          <w:p w14:paraId="31DF2191" w14:textId="1E67B97D"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72.43</w:t>
            </w:r>
          </w:p>
        </w:tc>
        <w:tc>
          <w:tcPr>
            <w:tcW w:w="728" w:type="dxa"/>
            <w:gridSpan w:val="2"/>
            <w:shd w:val="clear" w:color="auto" w:fill="auto"/>
            <w:noWrap/>
            <w:vAlign w:val="center"/>
          </w:tcPr>
          <w:p w14:paraId="581782FA" w14:textId="1957D41F"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10.21</w:t>
            </w:r>
          </w:p>
        </w:tc>
        <w:tc>
          <w:tcPr>
            <w:tcW w:w="603" w:type="dxa"/>
            <w:gridSpan w:val="2"/>
            <w:shd w:val="clear" w:color="auto" w:fill="auto"/>
            <w:noWrap/>
            <w:vAlign w:val="center"/>
          </w:tcPr>
          <w:p w14:paraId="19089FB8" w14:textId="7188DC15"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7.2</w:t>
            </w:r>
          </w:p>
        </w:tc>
      </w:tr>
      <w:tr w:rsidR="003E068C" w:rsidRPr="003E068C" w14:paraId="6DCBB7EC" w14:textId="77777777" w:rsidTr="00C41ABE">
        <w:trPr>
          <w:gridAfter w:val="1"/>
          <w:wAfter w:w="7" w:type="dxa"/>
          <w:jc w:val="center"/>
        </w:trPr>
        <w:tc>
          <w:tcPr>
            <w:tcW w:w="851" w:type="dxa"/>
            <w:vMerge/>
            <w:shd w:val="clear" w:color="auto" w:fill="auto"/>
            <w:vAlign w:val="center"/>
            <w:hideMark/>
          </w:tcPr>
          <w:p w14:paraId="18496BD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53BB020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4849A81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4CC2B3F4" w14:textId="77777777" w:rsidR="009D39F7" w:rsidRPr="00B878AA" w:rsidRDefault="009D39F7" w:rsidP="003E068C">
            <w:pPr>
              <w:autoSpaceDE w:val="0"/>
              <w:autoSpaceDN w:val="0"/>
              <w:adjustRightInd w:val="0"/>
              <w:snapToGrid w:val="0"/>
              <w:spacing w:line="240" w:lineRule="auto"/>
              <w:jc w:val="center"/>
              <w:rPr>
                <w:rFonts w:eastAsia="Times New Roman"/>
                <w:b/>
                <w:sz w:val="16"/>
                <w:szCs w:val="16"/>
                <w:lang w:eastAsia="fr-CA"/>
              </w:rPr>
            </w:pPr>
            <w:r w:rsidRPr="00B878AA">
              <w:rPr>
                <w:rFonts w:eastAsia="Times New Roman"/>
                <w:b/>
                <w:sz w:val="16"/>
                <w:szCs w:val="16"/>
                <w:lang w:eastAsia="fr-CA"/>
              </w:rPr>
              <w:t>43</w:t>
            </w:r>
          </w:p>
        </w:tc>
        <w:tc>
          <w:tcPr>
            <w:tcW w:w="567" w:type="dxa"/>
            <w:shd w:val="clear" w:color="auto" w:fill="auto"/>
            <w:noWrap/>
            <w:vAlign w:val="center"/>
            <w:hideMark/>
          </w:tcPr>
          <w:p w14:paraId="647E6E8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8.2</w:t>
            </w:r>
          </w:p>
        </w:tc>
        <w:tc>
          <w:tcPr>
            <w:tcW w:w="284" w:type="dxa"/>
            <w:shd w:val="clear" w:color="auto" w:fill="auto"/>
            <w:noWrap/>
            <w:vAlign w:val="center"/>
            <w:hideMark/>
          </w:tcPr>
          <w:p w14:paraId="6164326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7.2</w:t>
            </w:r>
          </w:p>
        </w:tc>
        <w:tc>
          <w:tcPr>
            <w:tcW w:w="850" w:type="dxa"/>
            <w:shd w:val="clear" w:color="auto" w:fill="auto"/>
            <w:noWrap/>
            <w:vAlign w:val="center"/>
          </w:tcPr>
          <w:p w14:paraId="5BEE53B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2523</w:t>
            </w:r>
          </w:p>
        </w:tc>
        <w:tc>
          <w:tcPr>
            <w:tcW w:w="1156" w:type="dxa"/>
            <w:shd w:val="clear" w:color="auto" w:fill="auto"/>
            <w:noWrap/>
            <w:vAlign w:val="center"/>
            <w:hideMark/>
          </w:tcPr>
          <w:p w14:paraId="610E5318" w14:textId="260D4549"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SO</w:t>
            </w:r>
            <w:r w:rsidRPr="00A45811">
              <w:rPr>
                <w:rFonts w:eastAsia="Times New Roman"/>
                <w:sz w:val="16"/>
                <w:szCs w:val="16"/>
                <w:vertAlign w:val="subscript"/>
                <w:lang w:eastAsia="fr-CA"/>
              </w:rPr>
              <w:t>4</w:t>
            </w:r>
          </w:p>
        </w:tc>
        <w:tc>
          <w:tcPr>
            <w:tcW w:w="838" w:type="dxa"/>
            <w:shd w:val="clear" w:color="auto" w:fill="auto"/>
            <w:noWrap/>
            <w:vAlign w:val="center"/>
            <w:hideMark/>
          </w:tcPr>
          <w:p w14:paraId="7D96A1B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390</w:t>
            </w:r>
          </w:p>
        </w:tc>
        <w:tc>
          <w:tcPr>
            <w:tcW w:w="851" w:type="dxa"/>
            <w:gridSpan w:val="2"/>
            <w:shd w:val="clear" w:color="auto" w:fill="auto"/>
            <w:noWrap/>
            <w:vAlign w:val="center"/>
            <w:hideMark/>
          </w:tcPr>
          <w:p w14:paraId="16C7268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120</w:t>
            </w:r>
          </w:p>
        </w:tc>
        <w:tc>
          <w:tcPr>
            <w:tcW w:w="709" w:type="dxa"/>
            <w:gridSpan w:val="2"/>
            <w:shd w:val="clear" w:color="auto" w:fill="auto"/>
            <w:noWrap/>
            <w:vAlign w:val="center"/>
            <w:hideMark/>
          </w:tcPr>
          <w:p w14:paraId="711DC74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200</w:t>
            </w:r>
          </w:p>
        </w:tc>
        <w:tc>
          <w:tcPr>
            <w:tcW w:w="637" w:type="dxa"/>
            <w:gridSpan w:val="2"/>
            <w:shd w:val="clear" w:color="auto" w:fill="auto"/>
            <w:noWrap/>
            <w:vAlign w:val="center"/>
            <w:hideMark/>
          </w:tcPr>
          <w:p w14:paraId="1E73F95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8.3</w:t>
            </w:r>
          </w:p>
        </w:tc>
        <w:tc>
          <w:tcPr>
            <w:tcW w:w="993" w:type="dxa"/>
            <w:gridSpan w:val="2"/>
            <w:shd w:val="clear" w:color="auto" w:fill="auto"/>
            <w:noWrap/>
            <w:vAlign w:val="center"/>
            <w:hideMark/>
          </w:tcPr>
          <w:p w14:paraId="623252B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205</w:t>
            </w:r>
          </w:p>
        </w:tc>
        <w:tc>
          <w:tcPr>
            <w:tcW w:w="555" w:type="dxa"/>
            <w:gridSpan w:val="2"/>
            <w:shd w:val="clear" w:color="auto" w:fill="auto"/>
            <w:noWrap/>
            <w:vAlign w:val="center"/>
            <w:hideMark/>
          </w:tcPr>
          <w:p w14:paraId="3F9BAF2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99</w:t>
            </w:r>
          </w:p>
        </w:tc>
        <w:tc>
          <w:tcPr>
            <w:tcW w:w="499" w:type="dxa"/>
            <w:gridSpan w:val="2"/>
            <w:shd w:val="clear" w:color="auto" w:fill="auto"/>
            <w:noWrap/>
            <w:vAlign w:val="center"/>
            <w:hideMark/>
          </w:tcPr>
          <w:p w14:paraId="529AB33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1500</w:t>
            </w:r>
          </w:p>
        </w:tc>
        <w:tc>
          <w:tcPr>
            <w:tcW w:w="561" w:type="dxa"/>
            <w:gridSpan w:val="2"/>
            <w:shd w:val="clear" w:color="auto" w:fill="auto"/>
            <w:noWrap/>
            <w:vAlign w:val="center"/>
          </w:tcPr>
          <w:p w14:paraId="13D96B1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3.1</w:t>
            </w:r>
          </w:p>
        </w:tc>
        <w:tc>
          <w:tcPr>
            <w:tcW w:w="706" w:type="dxa"/>
            <w:gridSpan w:val="2"/>
            <w:shd w:val="clear" w:color="auto" w:fill="auto"/>
            <w:noWrap/>
            <w:vAlign w:val="center"/>
          </w:tcPr>
          <w:p w14:paraId="16ED4637" w14:textId="20879C12"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72.81</w:t>
            </w:r>
          </w:p>
        </w:tc>
        <w:tc>
          <w:tcPr>
            <w:tcW w:w="728" w:type="dxa"/>
            <w:gridSpan w:val="2"/>
            <w:shd w:val="clear" w:color="auto" w:fill="auto"/>
            <w:noWrap/>
            <w:vAlign w:val="center"/>
          </w:tcPr>
          <w:p w14:paraId="27AB7A0F" w14:textId="4AB8D836"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10.38</w:t>
            </w:r>
          </w:p>
        </w:tc>
        <w:tc>
          <w:tcPr>
            <w:tcW w:w="603" w:type="dxa"/>
            <w:gridSpan w:val="2"/>
            <w:shd w:val="clear" w:color="auto" w:fill="auto"/>
            <w:noWrap/>
            <w:vAlign w:val="center"/>
          </w:tcPr>
          <w:p w14:paraId="78764F43" w14:textId="5A5B452E"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7.3</w:t>
            </w:r>
          </w:p>
        </w:tc>
      </w:tr>
      <w:tr w:rsidR="003E068C" w:rsidRPr="003E068C" w14:paraId="4CCF851B" w14:textId="77777777" w:rsidTr="00C41ABE">
        <w:trPr>
          <w:gridAfter w:val="1"/>
          <w:wAfter w:w="7" w:type="dxa"/>
          <w:jc w:val="center"/>
        </w:trPr>
        <w:tc>
          <w:tcPr>
            <w:tcW w:w="851" w:type="dxa"/>
            <w:vMerge/>
            <w:shd w:val="clear" w:color="auto" w:fill="auto"/>
            <w:vAlign w:val="center"/>
            <w:hideMark/>
          </w:tcPr>
          <w:p w14:paraId="3B5BB8D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48CFF84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6D74E7F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38F44B6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68</w:t>
            </w:r>
          </w:p>
        </w:tc>
        <w:tc>
          <w:tcPr>
            <w:tcW w:w="567" w:type="dxa"/>
            <w:shd w:val="clear" w:color="auto" w:fill="auto"/>
            <w:noWrap/>
            <w:vAlign w:val="center"/>
            <w:hideMark/>
          </w:tcPr>
          <w:p w14:paraId="0EFD38F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8.2</w:t>
            </w:r>
          </w:p>
        </w:tc>
        <w:tc>
          <w:tcPr>
            <w:tcW w:w="284" w:type="dxa"/>
            <w:shd w:val="clear" w:color="auto" w:fill="auto"/>
            <w:noWrap/>
            <w:vAlign w:val="center"/>
            <w:hideMark/>
          </w:tcPr>
          <w:p w14:paraId="237FE67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7.2</w:t>
            </w:r>
          </w:p>
        </w:tc>
        <w:tc>
          <w:tcPr>
            <w:tcW w:w="850" w:type="dxa"/>
            <w:shd w:val="clear" w:color="auto" w:fill="auto"/>
            <w:noWrap/>
            <w:vAlign w:val="center"/>
          </w:tcPr>
          <w:p w14:paraId="7CB9A25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2556</w:t>
            </w:r>
          </w:p>
        </w:tc>
        <w:tc>
          <w:tcPr>
            <w:tcW w:w="1156" w:type="dxa"/>
            <w:shd w:val="clear" w:color="auto" w:fill="auto"/>
            <w:noWrap/>
            <w:vAlign w:val="center"/>
            <w:hideMark/>
          </w:tcPr>
          <w:p w14:paraId="7896FE5C" w14:textId="3063ABA5"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SO</w:t>
            </w:r>
            <w:r w:rsidRPr="00A45811">
              <w:rPr>
                <w:rFonts w:eastAsia="Times New Roman"/>
                <w:sz w:val="16"/>
                <w:szCs w:val="16"/>
                <w:vertAlign w:val="subscript"/>
                <w:lang w:eastAsia="fr-CA"/>
              </w:rPr>
              <w:t>4</w:t>
            </w:r>
          </w:p>
        </w:tc>
        <w:tc>
          <w:tcPr>
            <w:tcW w:w="838" w:type="dxa"/>
            <w:shd w:val="clear" w:color="auto" w:fill="auto"/>
            <w:noWrap/>
            <w:vAlign w:val="center"/>
            <w:hideMark/>
          </w:tcPr>
          <w:p w14:paraId="53A9065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380</w:t>
            </w:r>
          </w:p>
        </w:tc>
        <w:tc>
          <w:tcPr>
            <w:tcW w:w="851" w:type="dxa"/>
            <w:gridSpan w:val="2"/>
            <w:shd w:val="clear" w:color="auto" w:fill="auto"/>
            <w:noWrap/>
            <w:vAlign w:val="center"/>
            <w:hideMark/>
          </w:tcPr>
          <w:p w14:paraId="1664CEE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130</w:t>
            </w:r>
          </w:p>
        </w:tc>
        <w:tc>
          <w:tcPr>
            <w:tcW w:w="709" w:type="dxa"/>
            <w:gridSpan w:val="2"/>
            <w:shd w:val="clear" w:color="auto" w:fill="auto"/>
            <w:noWrap/>
            <w:vAlign w:val="center"/>
            <w:hideMark/>
          </w:tcPr>
          <w:p w14:paraId="346286E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210</w:t>
            </w:r>
          </w:p>
        </w:tc>
        <w:tc>
          <w:tcPr>
            <w:tcW w:w="637" w:type="dxa"/>
            <w:gridSpan w:val="2"/>
            <w:shd w:val="clear" w:color="auto" w:fill="auto"/>
            <w:noWrap/>
            <w:vAlign w:val="center"/>
            <w:hideMark/>
          </w:tcPr>
          <w:p w14:paraId="42DF1A7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8.3</w:t>
            </w:r>
          </w:p>
        </w:tc>
        <w:tc>
          <w:tcPr>
            <w:tcW w:w="993" w:type="dxa"/>
            <w:gridSpan w:val="2"/>
            <w:shd w:val="clear" w:color="auto" w:fill="auto"/>
            <w:noWrap/>
            <w:vAlign w:val="center"/>
            <w:hideMark/>
          </w:tcPr>
          <w:p w14:paraId="04076EC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217</w:t>
            </w:r>
          </w:p>
        </w:tc>
        <w:tc>
          <w:tcPr>
            <w:tcW w:w="555" w:type="dxa"/>
            <w:gridSpan w:val="2"/>
            <w:shd w:val="clear" w:color="auto" w:fill="auto"/>
            <w:noWrap/>
            <w:vAlign w:val="center"/>
            <w:hideMark/>
          </w:tcPr>
          <w:p w14:paraId="2C315B1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110</w:t>
            </w:r>
          </w:p>
        </w:tc>
        <w:tc>
          <w:tcPr>
            <w:tcW w:w="499" w:type="dxa"/>
            <w:gridSpan w:val="2"/>
            <w:shd w:val="clear" w:color="auto" w:fill="auto"/>
            <w:noWrap/>
            <w:vAlign w:val="center"/>
            <w:hideMark/>
          </w:tcPr>
          <w:p w14:paraId="7C80BE9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1500</w:t>
            </w:r>
          </w:p>
        </w:tc>
        <w:tc>
          <w:tcPr>
            <w:tcW w:w="561" w:type="dxa"/>
            <w:gridSpan w:val="2"/>
            <w:shd w:val="clear" w:color="auto" w:fill="auto"/>
            <w:noWrap/>
            <w:vAlign w:val="center"/>
          </w:tcPr>
          <w:p w14:paraId="721DD33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2.9</w:t>
            </w:r>
          </w:p>
        </w:tc>
        <w:tc>
          <w:tcPr>
            <w:tcW w:w="706" w:type="dxa"/>
            <w:gridSpan w:val="2"/>
            <w:shd w:val="clear" w:color="auto" w:fill="auto"/>
            <w:noWrap/>
            <w:vAlign w:val="center"/>
          </w:tcPr>
          <w:p w14:paraId="7D3CF61D" w14:textId="2F71EA63"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73.01</w:t>
            </w:r>
          </w:p>
        </w:tc>
        <w:tc>
          <w:tcPr>
            <w:tcW w:w="728" w:type="dxa"/>
            <w:gridSpan w:val="2"/>
            <w:shd w:val="clear" w:color="auto" w:fill="auto"/>
            <w:noWrap/>
            <w:vAlign w:val="center"/>
          </w:tcPr>
          <w:p w14:paraId="26BAB098" w14:textId="7FC604BF"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10.50</w:t>
            </w:r>
          </w:p>
        </w:tc>
        <w:tc>
          <w:tcPr>
            <w:tcW w:w="603" w:type="dxa"/>
            <w:gridSpan w:val="2"/>
            <w:shd w:val="clear" w:color="auto" w:fill="auto"/>
            <w:noWrap/>
            <w:vAlign w:val="center"/>
          </w:tcPr>
          <w:p w14:paraId="63158D03" w14:textId="264F1958"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7.3</w:t>
            </w:r>
          </w:p>
        </w:tc>
      </w:tr>
      <w:tr w:rsidR="003E068C" w:rsidRPr="003E068C" w14:paraId="619958A7" w14:textId="77777777" w:rsidTr="00C41ABE">
        <w:trPr>
          <w:gridAfter w:val="1"/>
          <w:wAfter w:w="7" w:type="dxa"/>
          <w:jc w:val="center"/>
        </w:trPr>
        <w:tc>
          <w:tcPr>
            <w:tcW w:w="851" w:type="dxa"/>
            <w:vMerge/>
            <w:shd w:val="clear" w:color="auto" w:fill="auto"/>
            <w:vAlign w:val="center"/>
            <w:hideMark/>
          </w:tcPr>
          <w:p w14:paraId="50322E8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3030DDF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5DBF570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107A26F2" w14:textId="77777777"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color w:val="7F7F7F"/>
                <w:sz w:val="16"/>
                <w:szCs w:val="16"/>
                <w:lang w:eastAsia="fr-CA"/>
              </w:rPr>
              <w:t>98</w:t>
            </w:r>
          </w:p>
        </w:tc>
        <w:tc>
          <w:tcPr>
            <w:tcW w:w="567" w:type="dxa"/>
            <w:shd w:val="clear" w:color="auto" w:fill="auto"/>
            <w:noWrap/>
            <w:vAlign w:val="center"/>
            <w:hideMark/>
          </w:tcPr>
          <w:p w14:paraId="3934DA5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8.2</w:t>
            </w:r>
          </w:p>
        </w:tc>
        <w:tc>
          <w:tcPr>
            <w:tcW w:w="284" w:type="dxa"/>
            <w:shd w:val="clear" w:color="auto" w:fill="auto"/>
            <w:noWrap/>
            <w:vAlign w:val="center"/>
            <w:hideMark/>
          </w:tcPr>
          <w:p w14:paraId="3BAA3AC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7.1</w:t>
            </w:r>
          </w:p>
        </w:tc>
        <w:tc>
          <w:tcPr>
            <w:tcW w:w="850" w:type="dxa"/>
            <w:shd w:val="clear" w:color="auto" w:fill="auto"/>
            <w:noWrap/>
            <w:vAlign w:val="center"/>
          </w:tcPr>
          <w:p w14:paraId="0C9E2DC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2554</w:t>
            </w:r>
          </w:p>
        </w:tc>
        <w:tc>
          <w:tcPr>
            <w:tcW w:w="1156" w:type="dxa"/>
            <w:shd w:val="clear" w:color="auto" w:fill="auto"/>
            <w:noWrap/>
            <w:vAlign w:val="center"/>
            <w:hideMark/>
          </w:tcPr>
          <w:p w14:paraId="2B4EEF54" w14:textId="71449FD8"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SO</w:t>
            </w:r>
            <w:r w:rsidRPr="00A45811">
              <w:rPr>
                <w:rFonts w:eastAsia="Times New Roman"/>
                <w:sz w:val="16"/>
                <w:szCs w:val="16"/>
                <w:vertAlign w:val="subscript"/>
                <w:lang w:eastAsia="fr-CA"/>
              </w:rPr>
              <w:t>4</w:t>
            </w:r>
          </w:p>
        </w:tc>
        <w:tc>
          <w:tcPr>
            <w:tcW w:w="838" w:type="dxa"/>
            <w:shd w:val="clear" w:color="auto" w:fill="auto"/>
            <w:noWrap/>
            <w:vAlign w:val="center"/>
            <w:hideMark/>
          </w:tcPr>
          <w:p w14:paraId="0E4040A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390</w:t>
            </w:r>
          </w:p>
        </w:tc>
        <w:tc>
          <w:tcPr>
            <w:tcW w:w="851" w:type="dxa"/>
            <w:gridSpan w:val="2"/>
            <w:shd w:val="clear" w:color="auto" w:fill="auto"/>
            <w:noWrap/>
            <w:vAlign w:val="center"/>
            <w:hideMark/>
          </w:tcPr>
          <w:p w14:paraId="51FD506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130</w:t>
            </w:r>
          </w:p>
        </w:tc>
        <w:tc>
          <w:tcPr>
            <w:tcW w:w="709" w:type="dxa"/>
            <w:gridSpan w:val="2"/>
            <w:shd w:val="clear" w:color="auto" w:fill="auto"/>
            <w:noWrap/>
            <w:vAlign w:val="center"/>
            <w:hideMark/>
          </w:tcPr>
          <w:p w14:paraId="7E01BA4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210</w:t>
            </w:r>
          </w:p>
        </w:tc>
        <w:tc>
          <w:tcPr>
            <w:tcW w:w="637" w:type="dxa"/>
            <w:gridSpan w:val="2"/>
            <w:shd w:val="clear" w:color="auto" w:fill="auto"/>
            <w:noWrap/>
            <w:vAlign w:val="center"/>
            <w:hideMark/>
          </w:tcPr>
          <w:p w14:paraId="23535D1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8.6</w:t>
            </w:r>
          </w:p>
        </w:tc>
        <w:tc>
          <w:tcPr>
            <w:tcW w:w="993" w:type="dxa"/>
            <w:gridSpan w:val="2"/>
            <w:shd w:val="clear" w:color="auto" w:fill="auto"/>
            <w:noWrap/>
            <w:vAlign w:val="center"/>
            <w:hideMark/>
          </w:tcPr>
          <w:p w14:paraId="50269FB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205</w:t>
            </w:r>
          </w:p>
        </w:tc>
        <w:tc>
          <w:tcPr>
            <w:tcW w:w="555" w:type="dxa"/>
            <w:gridSpan w:val="2"/>
            <w:shd w:val="clear" w:color="auto" w:fill="auto"/>
            <w:noWrap/>
            <w:vAlign w:val="center"/>
            <w:hideMark/>
          </w:tcPr>
          <w:p w14:paraId="74C9BB9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110</w:t>
            </w:r>
          </w:p>
        </w:tc>
        <w:tc>
          <w:tcPr>
            <w:tcW w:w="499" w:type="dxa"/>
            <w:gridSpan w:val="2"/>
            <w:shd w:val="clear" w:color="auto" w:fill="auto"/>
            <w:noWrap/>
            <w:vAlign w:val="center"/>
            <w:hideMark/>
          </w:tcPr>
          <w:p w14:paraId="7A2F869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1500</w:t>
            </w:r>
          </w:p>
        </w:tc>
        <w:tc>
          <w:tcPr>
            <w:tcW w:w="561" w:type="dxa"/>
            <w:gridSpan w:val="2"/>
            <w:shd w:val="clear" w:color="auto" w:fill="auto"/>
            <w:noWrap/>
            <w:vAlign w:val="center"/>
          </w:tcPr>
          <w:p w14:paraId="0C4A77B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2.9</w:t>
            </w:r>
          </w:p>
        </w:tc>
        <w:tc>
          <w:tcPr>
            <w:tcW w:w="706" w:type="dxa"/>
            <w:gridSpan w:val="2"/>
            <w:shd w:val="clear" w:color="auto" w:fill="auto"/>
            <w:noWrap/>
            <w:vAlign w:val="center"/>
          </w:tcPr>
          <w:p w14:paraId="1FDF77E1" w14:textId="6CBD5920"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73.23</w:t>
            </w:r>
          </w:p>
        </w:tc>
        <w:tc>
          <w:tcPr>
            <w:tcW w:w="728" w:type="dxa"/>
            <w:gridSpan w:val="2"/>
            <w:shd w:val="clear" w:color="auto" w:fill="auto"/>
            <w:noWrap/>
            <w:vAlign w:val="center"/>
          </w:tcPr>
          <w:p w14:paraId="5B06C8C1" w14:textId="27C62F86"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10.21</w:t>
            </w:r>
          </w:p>
        </w:tc>
        <w:tc>
          <w:tcPr>
            <w:tcW w:w="603" w:type="dxa"/>
            <w:gridSpan w:val="2"/>
            <w:shd w:val="clear" w:color="auto" w:fill="auto"/>
            <w:noWrap/>
            <w:vAlign w:val="center"/>
          </w:tcPr>
          <w:p w14:paraId="2E508209" w14:textId="53A1159F" w:rsidR="009D39F7" w:rsidRPr="00B878AA" w:rsidRDefault="00F039AD"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 xml:space="preserve"> </w:t>
            </w:r>
          </w:p>
        </w:tc>
      </w:tr>
      <w:tr w:rsidR="003E068C" w:rsidRPr="003E068C" w14:paraId="5D9C1E50" w14:textId="77777777" w:rsidTr="00C41ABE">
        <w:trPr>
          <w:gridAfter w:val="1"/>
          <w:wAfter w:w="7" w:type="dxa"/>
          <w:jc w:val="center"/>
        </w:trPr>
        <w:tc>
          <w:tcPr>
            <w:tcW w:w="851" w:type="dxa"/>
            <w:vMerge/>
            <w:shd w:val="clear" w:color="auto" w:fill="auto"/>
            <w:vAlign w:val="center"/>
            <w:hideMark/>
          </w:tcPr>
          <w:p w14:paraId="52EAE02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17A5F7B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val="restart"/>
            <w:shd w:val="clear" w:color="auto" w:fill="auto"/>
            <w:noWrap/>
            <w:vAlign w:val="center"/>
            <w:hideMark/>
          </w:tcPr>
          <w:p w14:paraId="551CB5C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PO2</w:t>
            </w:r>
          </w:p>
        </w:tc>
        <w:tc>
          <w:tcPr>
            <w:tcW w:w="950" w:type="dxa"/>
            <w:shd w:val="clear" w:color="auto" w:fill="auto"/>
            <w:noWrap/>
            <w:vAlign w:val="center"/>
            <w:hideMark/>
          </w:tcPr>
          <w:p w14:paraId="4976FAD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21</w:t>
            </w:r>
          </w:p>
        </w:tc>
        <w:tc>
          <w:tcPr>
            <w:tcW w:w="567" w:type="dxa"/>
            <w:shd w:val="clear" w:color="auto" w:fill="auto"/>
            <w:noWrap/>
            <w:vAlign w:val="center"/>
            <w:hideMark/>
          </w:tcPr>
          <w:p w14:paraId="74812E7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9.1</w:t>
            </w:r>
          </w:p>
        </w:tc>
        <w:tc>
          <w:tcPr>
            <w:tcW w:w="284" w:type="dxa"/>
            <w:shd w:val="clear" w:color="auto" w:fill="auto"/>
            <w:noWrap/>
            <w:vAlign w:val="center"/>
            <w:hideMark/>
          </w:tcPr>
          <w:p w14:paraId="1AE085D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7.0</w:t>
            </w:r>
          </w:p>
        </w:tc>
        <w:tc>
          <w:tcPr>
            <w:tcW w:w="850" w:type="dxa"/>
            <w:shd w:val="clear" w:color="auto" w:fill="auto"/>
            <w:noWrap/>
            <w:vAlign w:val="center"/>
          </w:tcPr>
          <w:p w14:paraId="327A5CB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921</w:t>
            </w:r>
          </w:p>
        </w:tc>
        <w:tc>
          <w:tcPr>
            <w:tcW w:w="1156" w:type="dxa"/>
            <w:shd w:val="clear" w:color="auto" w:fill="auto"/>
            <w:noWrap/>
            <w:vAlign w:val="center"/>
            <w:hideMark/>
          </w:tcPr>
          <w:p w14:paraId="1B42F43B" w14:textId="70DC74FC"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r w:rsidRPr="00A45811">
              <w:rPr>
                <w:rFonts w:eastAsia="Times New Roman"/>
                <w:sz w:val="16"/>
                <w:szCs w:val="16"/>
                <w:lang w:eastAsia="fr-CA"/>
              </w:rPr>
              <w:t>,SO</w:t>
            </w:r>
            <w:r w:rsidRPr="00A45811">
              <w:rPr>
                <w:rFonts w:eastAsia="Times New Roman"/>
                <w:sz w:val="16"/>
                <w:szCs w:val="16"/>
                <w:vertAlign w:val="subscript"/>
                <w:lang w:eastAsia="fr-CA"/>
              </w:rPr>
              <w:t>4</w:t>
            </w:r>
          </w:p>
        </w:tc>
        <w:tc>
          <w:tcPr>
            <w:tcW w:w="838" w:type="dxa"/>
            <w:shd w:val="clear" w:color="auto" w:fill="auto"/>
            <w:noWrap/>
            <w:vAlign w:val="center"/>
            <w:hideMark/>
          </w:tcPr>
          <w:p w14:paraId="72A02D8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160</w:t>
            </w:r>
          </w:p>
        </w:tc>
        <w:tc>
          <w:tcPr>
            <w:tcW w:w="851" w:type="dxa"/>
            <w:gridSpan w:val="2"/>
            <w:shd w:val="clear" w:color="auto" w:fill="auto"/>
            <w:noWrap/>
            <w:vAlign w:val="center"/>
            <w:hideMark/>
          </w:tcPr>
          <w:p w14:paraId="0600B4A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37</w:t>
            </w:r>
          </w:p>
        </w:tc>
        <w:tc>
          <w:tcPr>
            <w:tcW w:w="709" w:type="dxa"/>
            <w:gridSpan w:val="2"/>
            <w:shd w:val="clear" w:color="auto" w:fill="auto"/>
            <w:noWrap/>
            <w:vAlign w:val="center"/>
            <w:hideMark/>
          </w:tcPr>
          <w:p w14:paraId="641EF4C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30</w:t>
            </w:r>
          </w:p>
        </w:tc>
        <w:tc>
          <w:tcPr>
            <w:tcW w:w="637" w:type="dxa"/>
            <w:gridSpan w:val="2"/>
            <w:shd w:val="clear" w:color="auto" w:fill="auto"/>
            <w:noWrap/>
            <w:vAlign w:val="center"/>
            <w:hideMark/>
          </w:tcPr>
          <w:p w14:paraId="12A18A8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4.8</w:t>
            </w:r>
          </w:p>
        </w:tc>
        <w:tc>
          <w:tcPr>
            <w:tcW w:w="993" w:type="dxa"/>
            <w:gridSpan w:val="2"/>
            <w:shd w:val="clear" w:color="auto" w:fill="auto"/>
            <w:noWrap/>
            <w:vAlign w:val="center"/>
            <w:hideMark/>
          </w:tcPr>
          <w:p w14:paraId="5A4B354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395</w:t>
            </w:r>
          </w:p>
        </w:tc>
        <w:tc>
          <w:tcPr>
            <w:tcW w:w="555" w:type="dxa"/>
            <w:gridSpan w:val="2"/>
            <w:shd w:val="clear" w:color="auto" w:fill="auto"/>
            <w:noWrap/>
            <w:vAlign w:val="center"/>
            <w:hideMark/>
          </w:tcPr>
          <w:p w14:paraId="1247CA6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64</w:t>
            </w:r>
          </w:p>
        </w:tc>
        <w:tc>
          <w:tcPr>
            <w:tcW w:w="499" w:type="dxa"/>
            <w:gridSpan w:val="2"/>
            <w:shd w:val="clear" w:color="auto" w:fill="auto"/>
            <w:noWrap/>
            <w:vAlign w:val="center"/>
            <w:hideMark/>
          </w:tcPr>
          <w:p w14:paraId="672C6A3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230</w:t>
            </w:r>
          </w:p>
        </w:tc>
        <w:tc>
          <w:tcPr>
            <w:tcW w:w="561" w:type="dxa"/>
            <w:gridSpan w:val="2"/>
            <w:shd w:val="clear" w:color="auto" w:fill="auto"/>
            <w:noWrap/>
            <w:vAlign w:val="center"/>
          </w:tcPr>
          <w:p w14:paraId="2DF3C4E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0.7</w:t>
            </w:r>
          </w:p>
        </w:tc>
        <w:tc>
          <w:tcPr>
            <w:tcW w:w="706" w:type="dxa"/>
            <w:gridSpan w:val="2"/>
            <w:shd w:val="clear" w:color="auto" w:fill="auto"/>
            <w:noWrap/>
            <w:vAlign w:val="center"/>
          </w:tcPr>
          <w:p w14:paraId="7BD5B498" w14:textId="6D6D6358"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72.05</w:t>
            </w:r>
          </w:p>
        </w:tc>
        <w:tc>
          <w:tcPr>
            <w:tcW w:w="728" w:type="dxa"/>
            <w:gridSpan w:val="2"/>
            <w:shd w:val="clear" w:color="auto" w:fill="auto"/>
            <w:noWrap/>
            <w:vAlign w:val="center"/>
          </w:tcPr>
          <w:p w14:paraId="507E33E3" w14:textId="5D8E98BD"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10.67</w:t>
            </w:r>
          </w:p>
        </w:tc>
        <w:tc>
          <w:tcPr>
            <w:tcW w:w="603" w:type="dxa"/>
            <w:gridSpan w:val="2"/>
            <w:shd w:val="clear" w:color="auto" w:fill="auto"/>
            <w:noWrap/>
            <w:vAlign w:val="center"/>
          </w:tcPr>
          <w:p w14:paraId="1499714C" w14:textId="65C74E86" w:rsidR="009D39F7" w:rsidRPr="00B878AA" w:rsidRDefault="00F039AD"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 xml:space="preserve"> </w:t>
            </w:r>
          </w:p>
        </w:tc>
      </w:tr>
      <w:tr w:rsidR="003E068C" w:rsidRPr="003E068C" w14:paraId="7594C546" w14:textId="77777777" w:rsidTr="00C41ABE">
        <w:trPr>
          <w:gridAfter w:val="1"/>
          <w:wAfter w:w="7" w:type="dxa"/>
          <w:jc w:val="center"/>
        </w:trPr>
        <w:tc>
          <w:tcPr>
            <w:tcW w:w="851" w:type="dxa"/>
            <w:vMerge/>
            <w:shd w:val="clear" w:color="auto" w:fill="auto"/>
            <w:vAlign w:val="center"/>
            <w:hideMark/>
          </w:tcPr>
          <w:p w14:paraId="4943DB9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4B4D469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6E99006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7EB1D73E" w14:textId="77777777" w:rsidR="009D39F7" w:rsidRPr="00B878AA" w:rsidRDefault="009D39F7" w:rsidP="003E068C">
            <w:pPr>
              <w:autoSpaceDE w:val="0"/>
              <w:autoSpaceDN w:val="0"/>
              <w:adjustRightInd w:val="0"/>
              <w:snapToGrid w:val="0"/>
              <w:spacing w:line="240" w:lineRule="auto"/>
              <w:jc w:val="center"/>
              <w:rPr>
                <w:rFonts w:eastAsia="Times New Roman"/>
                <w:b/>
                <w:sz w:val="16"/>
                <w:szCs w:val="16"/>
                <w:lang w:eastAsia="fr-CA"/>
              </w:rPr>
            </w:pPr>
            <w:r w:rsidRPr="00B878AA">
              <w:rPr>
                <w:rFonts w:eastAsia="Times New Roman"/>
                <w:b/>
                <w:sz w:val="16"/>
                <w:szCs w:val="16"/>
                <w:lang w:eastAsia="fr-CA"/>
              </w:rPr>
              <w:t>45</w:t>
            </w:r>
          </w:p>
        </w:tc>
        <w:tc>
          <w:tcPr>
            <w:tcW w:w="567" w:type="dxa"/>
            <w:shd w:val="clear" w:color="auto" w:fill="auto"/>
            <w:noWrap/>
            <w:vAlign w:val="center"/>
            <w:hideMark/>
          </w:tcPr>
          <w:p w14:paraId="079B65B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8.7</w:t>
            </w:r>
          </w:p>
        </w:tc>
        <w:tc>
          <w:tcPr>
            <w:tcW w:w="284" w:type="dxa"/>
            <w:shd w:val="clear" w:color="auto" w:fill="auto"/>
            <w:noWrap/>
            <w:vAlign w:val="center"/>
            <w:hideMark/>
          </w:tcPr>
          <w:p w14:paraId="6F9A625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7.2</w:t>
            </w:r>
          </w:p>
        </w:tc>
        <w:tc>
          <w:tcPr>
            <w:tcW w:w="850" w:type="dxa"/>
            <w:shd w:val="clear" w:color="auto" w:fill="auto"/>
            <w:noWrap/>
            <w:vAlign w:val="center"/>
          </w:tcPr>
          <w:p w14:paraId="10BA9DC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1179</w:t>
            </w:r>
          </w:p>
        </w:tc>
        <w:tc>
          <w:tcPr>
            <w:tcW w:w="1156" w:type="dxa"/>
            <w:shd w:val="clear" w:color="auto" w:fill="auto"/>
            <w:noWrap/>
            <w:vAlign w:val="center"/>
            <w:hideMark/>
          </w:tcPr>
          <w:p w14:paraId="6243F246" w14:textId="388DF6E3"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SO</w:t>
            </w:r>
            <w:r w:rsidRPr="00A45811">
              <w:rPr>
                <w:rFonts w:eastAsia="Times New Roman"/>
                <w:sz w:val="16"/>
                <w:szCs w:val="16"/>
                <w:vertAlign w:val="subscript"/>
                <w:lang w:eastAsia="fr-CA"/>
              </w:rPr>
              <w:t>4</w:t>
            </w:r>
            <w:r w:rsidRPr="00A45811">
              <w:rPr>
                <w:rFonts w:eastAsia="Times New Roman"/>
                <w:sz w:val="16"/>
                <w:szCs w:val="16"/>
                <w:lang w:eastAsia="fr-CA"/>
              </w:rPr>
              <w:t>,HCO</w:t>
            </w:r>
            <w:r w:rsidRPr="00A45811">
              <w:rPr>
                <w:rFonts w:eastAsia="Times New Roman"/>
                <w:sz w:val="16"/>
                <w:szCs w:val="16"/>
                <w:vertAlign w:val="subscript"/>
                <w:lang w:eastAsia="fr-CA"/>
              </w:rPr>
              <w:t>3</w:t>
            </w:r>
          </w:p>
        </w:tc>
        <w:tc>
          <w:tcPr>
            <w:tcW w:w="838" w:type="dxa"/>
            <w:shd w:val="clear" w:color="auto" w:fill="auto"/>
            <w:noWrap/>
            <w:vAlign w:val="center"/>
            <w:hideMark/>
          </w:tcPr>
          <w:p w14:paraId="63B2417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190</w:t>
            </w:r>
          </w:p>
        </w:tc>
        <w:tc>
          <w:tcPr>
            <w:tcW w:w="851" w:type="dxa"/>
            <w:gridSpan w:val="2"/>
            <w:shd w:val="clear" w:color="auto" w:fill="auto"/>
            <w:noWrap/>
            <w:vAlign w:val="center"/>
            <w:hideMark/>
          </w:tcPr>
          <w:p w14:paraId="4887655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47</w:t>
            </w:r>
          </w:p>
        </w:tc>
        <w:tc>
          <w:tcPr>
            <w:tcW w:w="709" w:type="dxa"/>
            <w:gridSpan w:val="2"/>
            <w:shd w:val="clear" w:color="auto" w:fill="auto"/>
            <w:noWrap/>
            <w:vAlign w:val="center"/>
            <w:hideMark/>
          </w:tcPr>
          <w:p w14:paraId="0D47FAB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43</w:t>
            </w:r>
          </w:p>
        </w:tc>
        <w:tc>
          <w:tcPr>
            <w:tcW w:w="637" w:type="dxa"/>
            <w:gridSpan w:val="2"/>
            <w:shd w:val="clear" w:color="auto" w:fill="auto"/>
            <w:noWrap/>
            <w:vAlign w:val="center"/>
            <w:hideMark/>
          </w:tcPr>
          <w:p w14:paraId="1D6A5A8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5.1</w:t>
            </w:r>
          </w:p>
        </w:tc>
        <w:tc>
          <w:tcPr>
            <w:tcW w:w="993" w:type="dxa"/>
            <w:gridSpan w:val="2"/>
            <w:shd w:val="clear" w:color="auto" w:fill="auto"/>
            <w:noWrap/>
            <w:vAlign w:val="center"/>
            <w:hideMark/>
          </w:tcPr>
          <w:p w14:paraId="1420E12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291</w:t>
            </w:r>
          </w:p>
        </w:tc>
        <w:tc>
          <w:tcPr>
            <w:tcW w:w="555" w:type="dxa"/>
            <w:gridSpan w:val="2"/>
            <w:shd w:val="clear" w:color="auto" w:fill="auto"/>
            <w:noWrap/>
            <w:vAlign w:val="center"/>
            <w:hideMark/>
          </w:tcPr>
          <w:p w14:paraId="4C69D69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43</w:t>
            </w:r>
          </w:p>
        </w:tc>
        <w:tc>
          <w:tcPr>
            <w:tcW w:w="499" w:type="dxa"/>
            <w:gridSpan w:val="2"/>
            <w:shd w:val="clear" w:color="auto" w:fill="auto"/>
            <w:noWrap/>
            <w:vAlign w:val="center"/>
            <w:hideMark/>
          </w:tcPr>
          <w:p w14:paraId="135AB87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560</w:t>
            </w:r>
          </w:p>
        </w:tc>
        <w:tc>
          <w:tcPr>
            <w:tcW w:w="561" w:type="dxa"/>
            <w:gridSpan w:val="2"/>
            <w:shd w:val="clear" w:color="auto" w:fill="auto"/>
            <w:noWrap/>
            <w:vAlign w:val="center"/>
          </w:tcPr>
          <w:p w14:paraId="1A62D9D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1.5</w:t>
            </w:r>
          </w:p>
        </w:tc>
        <w:tc>
          <w:tcPr>
            <w:tcW w:w="706" w:type="dxa"/>
            <w:gridSpan w:val="2"/>
            <w:shd w:val="clear" w:color="auto" w:fill="auto"/>
            <w:noWrap/>
            <w:vAlign w:val="center"/>
          </w:tcPr>
          <w:p w14:paraId="5D4BBA36" w14:textId="318E9DD8"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72.25</w:t>
            </w:r>
          </w:p>
        </w:tc>
        <w:tc>
          <w:tcPr>
            <w:tcW w:w="728" w:type="dxa"/>
            <w:gridSpan w:val="2"/>
            <w:shd w:val="clear" w:color="auto" w:fill="auto"/>
            <w:noWrap/>
            <w:vAlign w:val="center"/>
          </w:tcPr>
          <w:p w14:paraId="3D3390CB" w14:textId="04318279"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10.64</w:t>
            </w:r>
          </w:p>
        </w:tc>
        <w:tc>
          <w:tcPr>
            <w:tcW w:w="603" w:type="dxa"/>
            <w:gridSpan w:val="2"/>
            <w:shd w:val="clear" w:color="auto" w:fill="auto"/>
            <w:noWrap/>
            <w:vAlign w:val="center"/>
          </w:tcPr>
          <w:p w14:paraId="7E469A2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r>
      <w:tr w:rsidR="003E068C" w:rsidRPr="003E068C" w14:paraId="42D62857" w14:textId="77777777" w:rsidTr="00C41ABE">
        <w:trPr>
          <w:gridAfter w:val="1"/>
          <w:wAfter w:w="7" w:type="dxa"/>
          <w:jc w:val="center"/>
        </w:trPr>
        <w:tc>
          <w:tcPr>
            <w:tcW w:w="851" w:type="dxa"/>
            <w:vMerge/>
            <w:shd w:val="clear" w:color="auto" w:fill="auto"/>
            <w:vAlign w:val="center"/>
            <w:hideMark/>
          </w:tcPr>
          <w:p w14:paraId="6760F90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0E3F53D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2E80636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0E734443" w14:textId="77777777" w:rsidR="009D39F7" w:rsidRPr="00B878AA" w:rsidRDefault="009D39F7" w:rsidP="003E068C">
            <w:pPr>
              <w:autoSpaceDE w:val="0"/>
              <w:autoSpaceDN w:val="0"/>
              <w:adjustRightInd w:val="0"/>
              <w:snapToGrid w:val="0"/>
              <w:spacing w:line="240" w:lineRule="auto"/>
              <w:jc w:val="center"/>
              <w:rPr>
                <w:rFonts w:eastAsia="Times New Roman"/>
                <w:b/>
                <w:sz w:val="16"/>
                <w:szCs w:val="16"/>
                <w:lang w:eastAsia="fr-CA"/>
              </w:rPr>
            </w:pPr>
            <w:r w:rsidRPr="00B878AA">
              <w:rPr>
                <w:rFonts w:eastAsia="Times New Roman"/>
                <w:b/>
                <w:sz w:val="16"/>
                <w:szCs w:val="16"/>
                <w:lang w:eastAsia="fr-CA"/>
              </w:rPr>
              <w:t>70</w:t>
            </w:r>
          </w:p>
        </w:tc>
        <w:tc>
          <w:tcPr>
            <w:tcW w:w="567" w:type="dxa"/>
            <w:shd w:val="clear" w:color="auto" w:fill="auto"/>
            <w:noWrap/>
            <w:vAlign w:val="center"/>
            <w:hideMark/>
          </w:tcPr>
          <w:p w14:paraId="770E74E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8.6</w:t>
            </w:r>
          </w:p>
        </w:tc>
        <w:tc>
          <w:tcPr>
            <w:tcW w:w="284" w:type="dxa"/>
            <w:shd w:val="clear" w:color="auto" w:fill="auto"/>
            <w:noWrap/>
            <w:vAlign w:val="center"/>
            <w:hideMark/>
          </w:tcPr>
          <w:p w14:paraId="00A70B4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7.2</w:t>
            </w:r>
          </w:p>
        </w:tc>
        <w:tc>
          <w:tcPr>
            <w:tcW w:w="850" w:type="dxa"/>
            <w:shd w:val="clear" w:color="auto" w:fill="auto"/>
            <w:noWrap/>
            <w:vAlign w:val="center"/>
          </w:tcPr>
          <w:p w14:paraId="23692C9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1183</w:t>
            </w:r>
          </w:p>
        </w:tc>
        <w:tc>
          <w:tcPr>
            <w:tcW w:w="1156" w:type="dxa"/>
            <w:shd w:val="clear" w:color="auto" w:fill="auto"/>
            <w:noWrap/>
            <w:vAlign w:val="center"/>
            <w:hideMark/>
          </w:tcPr>
          <w:p w14:paraId="14DF74DF" w14:textId="5FB0BC85"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 </w:t>
            </w:r>
            <w:r w:rsidR="002529A5" w:rsidRPr="00A45811">
              <w:rPr>
                <w:rFonts w:eastAsia="Times New Roman"/>
                <w:sz w:val="16"/>
                <w:szCs w:val="16"/>
                <w:lang w:eastAsia="fr-CA"/>
              </w:rPr>
              <w:t>–</w:t>
            </w:r>
            <w:r w:rsidRPr="00A45811">
              <w:rPr>
                <w:rFonts w:eastAsia="Times New Roman"/>
                <w:sz w:val="16"/>
                <w:szCs w:val="16"/>
                <w:lang w:eastAsia="fr-CA"/>
              </w:rPr>
              <w:t xml:space="preserve"> SO</w:t>
            </w:r>
            <w:r w:rsidRPr="00A45811">
              <w:rPr>
                <w:rFonts w:eastAsia="Times New Roman"/>
                <w:sz w:val="16"/>
                <w:szCs w:val="16"/>
                <w:vertAlign w:val="subscript"/>
                <w:lang w:eastAsia="fr-CA"/>
              </w:rPr>
              <w:t>4</w:t>
            </w:r>
            <w:r w:rsidRPr="00A45811">
              <w:rPr>
                <w:rFonts w:eastAsia="Times New Roman"/>
                <w:sz w:val="16"/>
                <w:szCs w:val="16"/>
                <w:lang w:eastAsia="fr-CA"/>
              </w:rPr>
              <w:t>,HCO</w:t>
            </w:r>
            <w:r w:rsidRPr="00A45811">
              <w:rPr>
                <w:rFonts w:eastAsia="Times New Roman"/>
                <w:sz w:val="16"/>
                <w:szCs w:val="16"/>
                <w:vertAlign w:val="subscript"/>
                <w:lang w:eastAsia="fr-CA"/>
              </w:rPr>
              <w:t>3</w:t>
            </w:r>
          </w:p>
        </w:tc>
        <w:tc>
          <w:tcPr>
            <w:tcW w:w="838" w:type="dxa"/>
            <w:shd w:val="clear" w:color="auto" w:fill="auto"/>
            <w:noWrap/>
            <w:vAlign w:val="center"/>
            <w:hideMark/>
          </w:tcPr>
          <w:p w14:paraId="5B9344D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210</w:t>
            </w:r>
          </w:p>
        </w:tc>
        <w:tc>
          <w:tcPr>
            <w:tcW w:w="851" w:type="dxa"/>
            <w:gridSpan w:val="2"/>
            <w:shd w:val="clear" w:color="auto" w:fill="auto"/>
            <w:noWrap/>
            <w:vAlign w:val="center"/>
            <w:hideMark/>
          </w:tcPr>
          <w:p w14:paraId="3BC5130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47</w:t>
            </w:r>
          </w:p>
        </w:tc>
        <w:tc>
          <w:tcPr>
            <w:tcW w:w="709" w:type="dxa"/>
            <w:gridSpan w:val="2"/>
            <w:shd w:val="clear" w:color="auto" w:fill="auto"/>
            <w:noWrap/>
            <w:vAlign w:val="center"/>
            <w:hideMark/>
          </w:tcPr>
          <w:p w14:paraId="1277118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47</w:t>
            </w:r>
          </w:p>
        </w:tc>
        <w:tc>
          <w:tcPr>
            <w:tcW w:w="637" w:type="dxa"/>
            <w:gridSpan w:val="2"/>
            <w:shd w:val="clear" w:color="auto" w:fill="auto"/>
            <w:noWrap/>
            <w:vAlign w:val="center"/>
            <w:hideMark/>
          </w:tcPr>
          <w:p w14:paraId="7CE89E7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5.3</w:t>
            </w:r>
          </w:p>
        </w:tc>
        <w:tc>
          <w:tcPr>
            <w:tcW w:w="993" w:type="dxa"/>
            <w:gridSpan w:val="2"/>
            <w:shd w:val="clear" w:color="auto" w:fill="auto"/>
            <w:noWrap/>
            <w:vAlign w:val="center"/>
            <w:hideMark/>
          </w:tcPr>
          <w:p w14:paraId="03152CE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317</w:t>
            </w:r>
          </w:p>
        </w:tc>
        <w:tc>
          <w:tcPr>
            <w:tcW w:w="555" w:type="dxa"/>
            <w:gridSpan w:val="2"/>
            <w:shd w:val="clear" w:color="auto" w:fill="auto"/>
            <w:noWrap/>
            <w:vAlign w:val="center"/>
            <w:hideMark/>
          </w:tcPr>
          <w:p w14:paraId="5E69625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47</w:t>
            </w:r>
          </w:p>
        </w:tc>
        <w:tc>
          <w:tcPr>
            <w:tcW w:w="499" w:type="dxa"/>
            <w:gridSpan w:val="2"/>
            <w:shd w:val="clear" w:color="auto" w:fill="auto"/>
            <w:noWrap/>
            <w:vAlign w:val="center"/>
            <w:hideMark/>
          </w:tcPr>
          <w:p w14:paraId="0BEE0F6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510</w:t>
            </w:r>
          </w:p>
        </w:tc>
        <w:tc>
          <w:tcPr>
            <w:tcW w:w="561" w:type="dxa"/>
            <w:gridSpan w:val="2"/>
            <w:shd w:val="clear" w:color="auto" w:fill="auto"/>
            <w:noWrap/>
            <w:vAlign w:val="center"/>
          </w:tcPr>
          <w:p w14:paraId="46D0C51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1.5</w:t>
            </w:r>
          </w:p>
        </w:tc>
        <w:tc>
          <w:tcPr>
            <w:tcW w:w="706" w:type="dxa"/>
            <w:gridSpan w:val="2"/>
            <w:shd w:val="clear" w:color="auto" w:fill="auto"/>
            <w:noWrap/>
            <w:vAlign w:val="center"/>
          </w:tcPr>
          <w:p w14:paraId="52250C4B" w14:textId="35E48110"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72.54</w:t>
            </w:r>
          </w:p>
        </w:tc>
        <w:tc>
          <w:tcPr>
            <w:tcW w:w="728" w:type="dxa"/>
            <w:gridSpan w:val="2"/>
            <w:shd w:val="clear" w:color="auto" w:fill="auto"/>
            <w:noWrap/>
            <w:vAlign w:val="center"/>
          </w:tcPr>
          <w:p w14:paraId="72558165" w14:textId="76343E63"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10.50</w:t>
            </w:r>
          </w:p>
        </w:tc>
        <w:tc>
          <w:tcPr>
            <w:tcW w:w="603" w:type="dxa"/>
            <w:gridSpan w:val="2"/>
            <w:shd w:val="clear" w:color="auto" w:fill="auto"/>
            <w:noWrap/>
            <w:vAlign w:val="center"/>
          </w:tcPr>
          <w:p w14:paraId="5551EBF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r>
      <w:tr w:rsidR="003E068C" w:rsidRPr="003E068C" w14:paraId="2EC267A1" w14:textId="77777777" w:rsidTr="00C41ABE">
        <w:trPr>
          <w:gridAfter w:val="1"/>
          <w:wAfter w:w="7" w:type="dxa"/>
          <w:jc w:val="center"/>
        </w:trPr>
        <w:tc>
          <w:tcPr>
            <w:tcW w:w="851" w:type="dxa"/>
            <w:vMerge/>
            <w:shd w:val="clear" w:color="auto" w:fill="auto"/>
            <w:vAlign w:val="center"/>
            <w:hideMark/>
          </w:tcPr>
          <w:p w14:paraId="2CD661A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376C370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4D87E3B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71375A43" w14:textId="77777777" w:rsidR="009D39F7" w:rsidRPr="00B878AA" w:rsidRDefault="009D39F7" w:rsidP="003E068C">
            <w:pPr>
              <w:autoSpaceDE w:val="0"/>
              <w:autoSpaceDN w:val="0"/>
              <w:adjustRightInd w:val="0"/>
              <w:snapToGrid w:val="0"/>
              <w:spacing w:line="240" w:lineRule="auto"/>
              <w:jc w:val="center"/>
              <w:rPr>
                <w:rFonts w:eastAsia="Times New Roman"/>
                <w:b/>
                <w:sz w:val="16"/>
                <w:szCs w:val="16"/>
                <w:lang w:eastAsia="fr-CA"/>
              </w:rPr>
            </w:pPr>
            <w:r w:rsidRPr="00B878AA">
              <w:rPr>
                <w:rFonts w:eastAsia="Times New Roman"/>
                <w:b/>
                <w:sz w:val="16"/>
                <w:szCs w:val="16"/>
                <w:lang w:eastAsia="fr-CA"/>
              </w:rPr>
              <w:t>83</w:t>
            </w:r>
          </w:p>
        </w:tc>
        <w:tc>
          <w:tcPr>
            <w:tcW w:w="567" w:type="dxa"/>
            <w:shd w:val="clear" w:color="auto" w:fill="auto"/>
            <w:noWrap/>
            <w:vAlign w:val="center"/>
            <w:hideMark/>
          </w:tcPr>
          <w:p w14:paraId="738EAF6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8.6</w:t>
            </w:r>
          </w:p>
        </w:tc>
        <w:tc>
          <w:tcPr>
            <w:tcW w:w="284" w:type="dxa"/>
            <w:shd w:val="clear" w:color="auto" w:fill="auto"/>
            <w:noWrap/>
            <w:vAlign w:val="center"/>
            <w:hideMark/>
          </w:tcPr>
          <w:p w14:paraId="43ECE8C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7.2</w:t>
            </w:r>
          </w:p>
        </w:tc>
        <w:tc>
          <w:tcPr>
            <w:tcW w:w="850" w:type="dxa"/>
            <w:shd w:val="clear" w:color="auto" w:fill="auto"/>
            <w:noWrap/>
            <w:vAlign w:val="center"/>
          </w:tcPr>
          <w:p w14:paraId="72ABD23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1239</w:t>
            </w:r>
          </w:p>
        </w:tc>
        <w:tc>
          <w:tcPr>
            <w:tcW w:w="1156" w:type="dxa"/>
            <w:shd w:val="clear" w:color="auto" w:fill="auto"/>
            <w:noWrap/>
            <w:vAlign w:val="center"/>
            <w:hideMark/>
          </w:tcPr>
          <w:p w14:paraId="44AC8EB4" w14:textId="3903AC44"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SO</w:t>
            </w:r>
            <w:r w:rsidRPr="00A45811">
              <w:rPr>
                <w:rFonts w:eastAsia="Times New Roman"/>
                <w:sz w:val="16"/>
                <w:szCs w:val="16"/>
                <w:vertAlign w:val="subscript"/>
                <w:lang w:eastAsia="fr-CA"/>
              </w:rPr>
              <w:t>4</w:t>
            </w:r>
            <w:r w:rsidRPr="00A45811">
              <w:rPr>
                <w:rFonts w:eastAsia="Times New Roman"/>
                <w:sz w:val="16"/>
                <w:szCs w:val="16"/>
                <w:lang w:eastAsia="fr-CA"/>
              </w:rPr>
              <w:t>,HCO</w:t>
            </w:r>
            <w:r w:rsidRPr="00A45811">
              <w:rPr>
                <w:rFonts w:eastAsia="Times New Roman"/>
                <w:sz w:val="16"/>
                <w:szCs w:val="16"/>
                <w:vertAlign w:val="subscript"/>
                <w:lang w:eastAsia="fr-CA"/>
              </w:rPr>
              <w:t>3</w:t>
            </w:r>
          </w:p>
        </w:tc>
        <w:tc>
          <w:tcPr>
            <w:tcW w:w="838" w:type="dxa"/>
            <w:shd w:val="clear" w:color="auto" w:fill="auto"/>
            <w:noWrap/>
            <w:vAlign w:val="center"/>
            <w:hideMark/>
          </w:tcPr>
          <w:p w14:paraId="2AEB59A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200</w:t>
            </w:r>
          </w:p>
        </w:tc>
        <w:tc>
          <w:tcPr>
            <w:tcW w:w="851" w:type="dxa"/>
            <w:gridSpan w:val="2"/>
            <w:shd w:val="clear" w:color="auto" w:fill="auto"/>
            <w:noWrap/>
            <w:vAlign w:val="center"/>
            <w:hideMark/>
          </w:tcPr>
          <w:p w14:paraId="21DAE90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50</w:t>
            </w:r>
          </w:p>
        </w:tc>
        <w:tc>
          <w:tcPr>
            <w:tcW w:w="709" w:type="dxa"/>
            <w:gridSpan w:val="2"/>
            <w:shd w:val="clear" w:color="auto" w:fill="auto"/>
            <w:noWrap/>
            <w:vAlign w:val="center"/>
            <w:hideMark/>
          </w:tcPr>
          <w:p w14:paraId="6629B1F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49</w:t>
            </w:r>
          </w:p>
        </w:tc>
        <w:tc>
          <w:tcPr>
            <w:tcW w:w="637" w:type="dxa"/>
            <w:gridSpan w:val="2"/>
            <w:shd w:val="clear" w:color="auto" w:fill="auto"/>
            <w:noWrap/>
            <w:vAlign w:val="center"/>
            <w:hideMark/>
          </w:tcPr>
          <w:p w14:paraId="689C379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5.4</w:t>
            </w:r>
          </w:p>
        </w:tc>
        <w:tc>
          <w:tcPr>
            <w:tcW w:w="993" w:type="dxa"/>
            <w:gridSpan w:val="2"/>
            <w:shd w:val="clear" w:color="auto" w:fill="auto"/>
            <w:noWrap/>
            <w:vAlign w:val="center"/>
            <w:hideMark/>
          </w:tcPr>
          <w:p w14:paraId="4C0CF81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301</w:t>
            </w:r>
          </w:p>
        </w:tc>
        <w:tc>
          <w:tcPr>
            <w:tcW w:w="555" w:type="dxa"/>
            <w:gridSpan w:val="2"/>
            <w:shd w:val="clear" w:color="auto" w:fill="auto"/>
            <w:noWrap/>
            <w:vAlign w:val="center"/>
            <w:hideMark/>
          </w:tcPr>
          <w:p w14:paraId="2897581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44</w:t>
            </w:r>
          </w:p>
        </w:tc>
        <w:tc>
          <w:tcPr>
            <w:tcW w:w="499" w:type="dxa"/>
            <w:gridSpan w:val="2"/>
            <w:shd w:val="clear" w:color="auto" w:fill="auto"/>
            <w:noWrap/>
            <w:vAlign w:val="center"/>
            <w:hideMark/>
          </w:tcPr>
          <w:p w14:paraId="511B1EE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590</w:t>
            </w:r>
          </w:p>
        </w:tc>
        <w:tc>
          <w:tcPr>
            <w:tcW w:w="561" w:type="dxa"/>
            <w:gridSpan w:val="2"/>
            <w:shd w:val="clear" w:color="auto" w:fill="auto"/>
            <w:noWrap/>
            <w:vAlign w:val="center"/>
          </w:tcPr>
          <w:p w14:paraId="187C843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1.7</w:t>
            </w:r>
          </w:p>
        </w:tc>
        <w:tc>
          <w:tcPr>
            <w:tcW w:w="706" w:type="dxa"/>
            <w:gridSpan w:val="2"/>
            <w:shd w:val="clear" w:color="auto" w:fill="auto"/>
            <w:noWrap/>
            <w:vAlign w:val="center"/>
          </w:tcPr>
          <w:p w14:paraId="7BEA0494" w14:textId="29818F33"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71.89</w:t>
            </w:r>
          </w:p>
        </w:tc>
        <w:tc>
          <w:tcPr>
            <w:tcW w:w="728" w:type="dxa"/>
            <w:gridSpan w:val="2"/>
            <w:shd w:val="clear" w:color="auto" w:fill="auto"/>
            <w:noWrap/>
            <w:vAlign w:val="center"/>
          </w:tcPr>
          <w:p w14:paraId="5BBE9B99" w14:textId="6753F9EF"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10.70</w:t>
            </w:r>
          </w:p>
        </w:tc>
        <w:tc>
          <w:tcPr>
            <w:tcW w:w="603" w:type="dxa"/>
            <w:gridSpan w:val="2"/>
            <w:shd w:val="clear" w:color="auto" w:fill="auto"/>
            <w:noWrap/>
            <w:vAlign w:val="center"/>
          </w:tcPr>
          <w:p w14:paraId="3A6423E9" w14:textId="2A1C5BC0" w:rsidR="009D39F7" w:rsidRPr="00B878AA" w:rsidRDefault="00F039AD"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 xml:space="preserve"> </w:t>
            </w:r>
          </w:p>
        </w:tc>
      </w:tr>
      <w:tr w:rsidR="003E068C" w:rsidRPr="003E068C" w14:paraId="3FE4A34A" w14:textId="77777777" w:rsidTr="00C41ABE">
        <w:trPr>
          <w:gridAfter w:val="1"/>
          <w:wAfter w:w="7" w:type="dxa"/>
          <w:jc w:val="center"/>
        </w:trPr>
        <w:tc>
          <w:tcPr>
            <w:tcW w:w="851" w:type="dxa"/>
            <w:vMerge/>
            <w:shd w:val="clear" w:color="auto" w:fill="auto"/>
            <w:vAlign w:val="center"/>
            <w:hideMark/>
          </w:tcPr>
          <w:p w14:paraId="730E57F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val="restart"/>
            <w:shd w:val="clear" w:color="auto" w:fill="auto"/>
            <w:vAlign w:val="center"/>
            <w:hideMark/>
          </w:tcPr>
          <w:p w14:paraId="0852703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F41F10">
              <w:rPr>
                <w:rFonts w:eastAsia="Times New Roman"/>
                <w:sz w:val="14"/>
                <w:szCs w:val="14"/>
                <w:lang w:eastAsia="fr-CA"/>
              </w:rPr>
              <w:t>Chateauguay</w:t>
            </w:r>
          </w:p>
        </w:tc>
        <w:tc>
          <w:tcPr>
            <w:tcW w:w="747" w:type="dxa"/>
            <w:vMerge w:val="restart"/>
            <w:shd w:val="clear" w:color="auto" w:fill="auto"/>
            <w:vAlign w:val="center"/>
            <w:hideMark/>
          </w:tcPr>
          <w:p w14:paraId="5DA77F4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MELCC 03090013</w:t>
            </w:r>
          </w:p>
        </w:tc>
        <w:tc>
          <w:tcPr>
            <w:tcW w:w="950" w:type="dxa"/>
            <w:shd w:val="clear" w:color="auto" w:fill="auto"/>
            <w:noWrap/>
            <w:vAlign w:val="center"/>
            <w:hideMark/>
          </w:tcPr>
          <w:p w14:paraId="7DCB122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21</w:t>
            </w:r>
          </w:p>
        </w:tc>
        <w:tc>
          <w:tcPr>
            <w:tcW w:w="567" w:type="dxa"/>
            <w:shd w:val="clear" w:color="auto" w:fill="auto"/>
            <w:noWrap/>
            <w:vAlign w:val="center"/>
            <w:hideMark/>
          </w:tcPr>
          <w:p w14:paraId="7284149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8.3</w:t>
            </w:r>
          </w:p>
        </w:tc>
        <w:tc>
          <w:tcPr>
            <w:tcW w:w="284" w:type="dxa"/>
            <w:shd w:val="clear" w:color="auto" w:fill="auto"/>
            <w:noWrap/>
            <w:vAlign w:val="center"/>
            <w:hideMark/>
          </w:tcPr>
          <w:p w14:paraId="5016EE8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7.9</w:t>
            </w:r>
          </w:p>
        </w:tc>
        <w:tc>
          <w:tcPr>
            <w:tcW w:w="850" w:type="dxa"/>
            <w:shd w:val="clear" w:color="auto" w:fill="auto"/>
            <w:noWrap/>
            <w:vAlign w:val="center"/>
          </w:tcPr>
          <w:p w14:paraId="1AC871E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460</w:t>
            </w:r>
          </w:p>
        </w:tc>
        <w:tc>
          <w:tcPr>
            <w:tcW w:w="1156" w:type="dxa"/>
            <w:shd w:val="clear" w:color="auto" w:fill="auto"/>
            <w:noWrap/>
            <w:vAlign w:val="center"/>
            <w:hideMark/>
          </w:tcPr>
          <w:p w14:paraId="16C676C0" w14:textId="2087F83F"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Mg,Ca,Na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p>
        </w:tc>
        <w:tc>
          <w:tcPr>
            <w:tcW w:w="838" w:type="dxa"/>
            <w:shd w:val="clear" w:color="auto" w:fill="auto"/>
            <w:noWrap/>
            <w:vAlign w:val="center"/>
            <w:hideMark/>
          </w:tcPr>
          <w:p w14:paraId="56C6505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43</w:t>
            </w:r>
          </w:p>
        </w:tc>
        <w:tc>
          <w:tcPr>
            <w:tcW w:w="851" w:type="dxa"/>
            <w:gridSpan w:val="2"/>
            <w:shd w:val="clear" w:color="auto" w:fill="auto"/>
            <w:noWrap/>
            <w:vAlign w:val="center"/>
            <w:hideMark/>
          </w:tcPr>
          <w:p w14:paraId="1104A9A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29</w:t>
            </w:r>
          </w:p>
        </w:tc>
        <w:tc>
          <w:tcPr>
            <w:tcW w:w="709" w:type="dxa"/>
            <w:gridSpan w:val="2"/>
            <w:shd w:val="clear" w:color="auto" w:fill="auto"/>
            <w:noWrap/>
            <w:vAlign w:val="center"/>
            <w:hideMark/>
          </w:tcPr>
          <w:p w14:paraId="7AECCD7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37</w:t>
            </w:r>
          </w:p>
        </w:tc>
        <w:tc>
          <w:tcPr>
            <w:tcW w:w="637" w:type="dxa"/>
            <w:gridSpan w:val="2"/>
            <w:shd w:val="clear" w:color="auto" w:fill="auto"/>
            <w:noWrap/>
            <w:vAlign w:val="center"/>
            <w:hideMark/>
          </w:tcPr>
          <w:p w14:paraId="69936D1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5.1</w:t>
            </w:r>
          </w:p>
        </w:tc>
        <w:tc>
          <w:tcPr>
            <w:tcW w:w="993" w:type="dxa"/>
            <w:gridSpan w:val="2"/>
            <w:shd w:val="clear" w:color="auto" w:fill="auto"/>
            <w:noWrap/>
            <w:vAlign w:val="center"/>
            <w:hideMark/>
          </w:tcPr>
          <w:p w14:paraId="57CC751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339</w:t>
            </w:r>
          </w:p>
        </w:tc>
        <w:tc>
          <w:tcPr>
            <w:tcW w:w="555" w:type="dxa"/>
            <w:gridSpan w:val="2"/>
            <w:shd w:val="clear" w:color="auto" w:fill="auto"/>
            <w:noWrap/>
            <w:vAlign w:val="center"/>
            <w:hideMark/>
          </w:tcPr>
          <w:p w14:paraId="59B5424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8.9</w:t>
            </w:r>
          </w:p>
        </w:tc>
        <w:tc>
          <w:tcPr>
            <w:tcW w:w="499" w:type="dxa"/>
            <w:gridSpan w:val="2"/>
            <w:shd w:val="clear" w:color="auto" w:fill="auto"/>
            <w:noWrap/>
            <w:vAlign w:val="center"/>
            <w:hideMark/>
          </w:tcPr>
          <w:p w14:paraId="19BD9EB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w:t>
            </w:r>
          </w:p>
        </w:tc>
        <w:tc>
          <w:tcPr>
            <w:tcW w:w="561" w:type="dxa"/>
            <w:gridSpan w:val="2"/>
            <w:shd w:val="clear" w:color="auto" w:fill="auto"/>
            <w:noWrap/>
            <w:vAlign w:val="center"/>
          </w:tcPr>
          <w:p w14:paraId="1A7E163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6.4</w:t>
            </w:r>
          </w:p>
        </w:tc>
        <w:tc>
          <w:tcPr>
            <w:tcW w:w="706" w:type="dxa"/>
            <w:gridSpan w:val="2"/>
            <w:shd w:val="clear" w:color="auto" w:fill="auto"/>
            <w:noWrap/>
            <w:vAlign w:val="center"/>
          </w:tcPr>
          <w:p w14:paraId="7227FA7F" w14:textId="3037EEE2"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73.92</w:t>
            </w:r>
          </w:p>
        </w:tc>
        <w:tc>
          <w:tcPr>
            <w:tcW w:w="728" w:type="dxa"/>
            <w:gridSpan w:val="2"/>
            <w:shd w:val="clear" w:color="auto" w:fill="auto"/>
            <w:noWrap/>
            <w:vAlign w:val="center"/>
          </w:tcPr>
          <w:p w14:paraId="02C1E043" w14:textId="1E2D9F30"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10.72</w:t>
            </w:r>
          </w:p>
        </w:tc>
        <w:tc>
          <w:tcPr>
            <w:tcW w:w="603" w:type="dxa"/>
            <w:gridSpan w:val="2"/>
            <w:shd w:val="clear" w:color="auto" w:fill="auto"/>
            <w:noWrap/>
            <w:vAlign w:val="center"/>
          </w:tcPr>
          <w:p w14:paraId="62C52335" w14:textId="6A2B2300"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13.7</w:t>
            </w:r>
          </w:p>
        </w:tc>
      </w:tr>
      <w:tr w:rsidR="003E068C" w:rsidRPr="003E068C" w14:paraId="62318AD6" w14:textId="77777777" w:rsidTr="00C41ABE">
        <w:trPr>
          <w:gridAfter w:val="1"/>
          <w:wAfter w:w="7" w:type="dxa"/>
          <w:jc w:val="center"/>
        </w:trPr>
        <w:tc>
          <w:tcPr>
            <w:tcW w:w="851" w:type="dxa"/>
            <w:vMerge/>
            <w:shd w:val="clear" w:color="auto" w:fill="auto"/>
            <w:vAlign w:val="center"/>
            <w:hideMark/>
          </w:tcPr>
          <w:p w14:paraId="4159221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137E1F9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688E4C5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36130B02" w14:textId="2BDCB616" w:rsidR="009D39F7" w:rsidRPr="00B878AA" w:rsidRDefault="009D39F7" w:rsidP="003E068C">
            <w:pPr>
              <w:autoSpaceDE w:val="0"/>
              <w:autoSpaceDN w:val="0"/>
              <w:adjustRightInd w:val="0"/>
              <w:snapToGrid w:val="0"/>
              <w:spacing w:line="240" w:lineRule="auto"/>
              <w:jc w:val="center"/>
              <w:rPr>
                <w:rFonts w:eastAsia="Times New Roman"/>
                <w:sz w:val="16"/>
                <w:szCs w:val="16"/>
                <w:u w:val="single"/>
                <w:lang w:eastAsia="fr-CA"/>
              </w:rPr>
            </w:pPr>
            <w:r w:rsidRPr="00B878AA">
              <w:rPr>
                <w:rFonts w:eastAsia="Times New Roman"/>
                <w:sz w:val="16"/>
                <w:szCs w:val="16"/>
                <w:u w:val="single"/>
                <w:lang w:eastAsia="fr-CA"/>
              </w:rPr>
              <w:t>33</w:t>
            </w:r>
            <w:r w:rsidR="002529A5" w:rsidRPr="00B878AA">
              <w:rPr>
                <w:rFonts w:eastAsia="Times New Roman"/>
                <w:sz w:val="16"/>
                <w:szCs w:val="16"/>
                <w:u w:val="single"/>
                <w:lang w:eastAsia="fr-CA"/>
              </w:rPr>
              <w:t>–</w:t>
            </w:r>
            <w:r w:rsidRPr="00B878AA">
              <w:rPr>
                <w:rFonts w:eastAsia="Times New Roman"/>
                <w:sz w:val="16"/>
                <w:szCs w:val="16"/>
                <w:u w:val="single"/>
                <w:lang w:eastAsia="fr-CA"/>
              </w:rPr>
              <w:t>35</w:t>
            </w:r>
          </w:p>
        </w:tc>
        <w:tc>
          <w:tcPr>
            <w:tcW w:w="567" w:type="dxa"/>
            <w:shd w:val="clear" w:color="auto" w:fill="auto"/>
            <w:noWrap/>
            <w:vAlign w:val="center"/>
            <w:hideMark/>
          </w:tcPr>
          <w:p w14:paraId="139A131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8.2</w:t>
            </w:r>
          </w:p>
        </w:tc>
        <w:tc>
          <w:tcPr>
            <w:tcW w:w="284" w:type="dxa"/>
            <w:shd w:val="clear" w:color="auto" w:fill="auto"/>
            <w:noWrap/>
            <w:vAlign w:val="center"/>
            <w:hideMark/>
          </w:tcPr>
          <w:p w14:paraId="18D9FD4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7.7</w:t>
            </w:r>
          </w:p>
        </w:tc>
        <w:tc>
          <w:tcPr>
            <w:tcW w:w="850" w:type="dxa"/>
            <w:shd w:val="clear" w:color="auto" w:fill="auto"/>
            <w:noWrap/>
            <w:vAlign w:val="center"/>
          </w:tcPr>
          <w:p w14:paraId="7DD6EDB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532</w:t>
            </w:r>
          </w:p>
        </w:tc>
        <w:tc>
          <w:tcPr>
            <w:tcW w:w="1156" w:type="dxa"/>
            <w:shd w:val="clear" w:color="auto" w:fill="auto"/>
            <w:noWrap/>
            <w:vAlign w:val="center"/>
            <w:hideMark/>
          </w:tcPr>
          <w:p w14:paraId="396ADD59" w14:textId="7E657FC2"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Ca,Mg,Na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p>
        </w:tc>
        <w:tc>
          <w:tcPr>
            <w:tcW w:w="838" w:type="dxa"/>
            <w:shd w:val="clear" w:color="auto" w:fill="auto"/>
            <w:noWrap/>
            <w:vAlign w:val="center"/>
            <w:hideMark/>
          </w:tcPr>
          <w:p w14:paraId="53BA850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51</w:t>
            </w:r>
          </w:p>
        </w:tc>
        <w:tc>
          <w:tcPr>
            <w:tcW w:w="851" w:type="dxa"/>
            <w:gridSpan w:val="2"/>
            <w:shd w:val="clear" w:color="auto" w:fill="auto"/>
            <w:noWrap/>
            <w:vAlign w:val="center"/>
            <w:hideMark/>
          </w:tcPr>
          <w:p w14:paraId="358D8A3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30</w:t>
            </w:r>
          </w:p>
        </w:tc>
        <w:tc>
          <w:tcPr>
            <w:tcW w:w="709" w:type="dxa"/>
            <w:gridSpan w:val="2"/>
            <w:shd w:val="clear" w:color="auto" w:fill="auto"/>
            <w:noWrap/>
            <w:vAlign w:val="center"/>
            <w:hideMark/>
          </w:tcPr>
          <w:p w14:paraId="11FC872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53</w:t>
            </w:r>
          </w:p>
        </w:tc>
        <w:tc>
          <w:tcPr>
            <w:tcW w:w="637" w:type="dxa"/>
            <w:gridSpan w:val="2"/>
            <w:shd w:val="clear" w:color="auto" w:fill="auto"/>
            <w:noWrap/>
            <w:vAlign w:val="center"/>
            <w:hideMark/>
          </w:tcPr>
          <w:p w14:paraId="1FD9798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5.1</w:t>
            </w:r>
          </w:p>
        </w:tc>
        <w:tc>
          <w:tcPr>
            <w:tcW w:w="993" w:type="dxa"/>
            <w:gridSpan w:val="2"/>
            <w:shd w:val="clear" w:color="auto" w:fill="auto"/>
            <w:noWrap/>
            <w:vAlign w:val="center"/>
            <w:hideMark/>
          </w:tcPr>
          <w:p w14:paraId="7516DBE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304</w:t>
            </w:r>
          </w:p>
        </w:tc>
        <w:tc>
          <w:tcPr>
            <w:tcW w:w="555" w:type="dxa"/>
            <w:gridSpan w:val="2"/>
            <w:shd w:val="clear" w:color="auto" w:fill="auto"/>
            <w:noWrap/>
            <w:vAlign w:val="center"/>
            <w:hideMark/>
          </w:tcPr>
          <w:p w14:paraId="08FFBDF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44</w:t>
            </w:r>
          </w:p>
        </w:tc>
        <w:tc>
          <w:tcPr>
            <w:tcW w:w="499" w:type="dxa"/>
            <w:gridSpan w:val="2"/>
            <w:shd w:val="clear" w:color="auto" w:fill="auto"/>
            <w:noWrap/>
            <w:vAlign w:val="center"/>
            <w:hideMark/>
          </w:tcPr>
          <w:p w14:paraId="562735F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55</w:t>
            </w:r>
          </w:p>
        </w:tc>
        <w:tc>
          <w:tcPr>
            <w:tcW w:w="561" w:type="dxa"/>
            <w:gridSpan w:val="2"/>
            <w:shd w:val="clear" w:color="auto" w:fill="auto"/>
            <w:noWrap/>
            <w:vAlign w:val="center"/>
          </w:tcPr>
          <w:p w14:paraId="394D6BD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1.9</w:t>
            </w:r>
          </w:p>
        </w:tc>
        <w:tc>
          <w:tcPr>
            <w:tcW w:w="706" w:type="dxa"/>
            <w:gridSpan w:val="2"/>
            <w:shd w:val="clear" w:color="auto" w:fill="auto"/>
            <w:noWrap/>
            <w:vAlign w:val="center"/>
          </w:tcPr>
          <w:p w14:paraId="6A2FED27" w14:textId="2744124D"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74.96</w:t>
            </w:r>
          </w:p>
        </w:tc>
        <w:tc>
          <w:tcPr>
            <w:tcW w:w="728" w:type="dxa"/>
            <w:gridSpan w:val="2"/>
            <w:shd w:val="clear" w:color="auto" w:fill="auto"/>
            <w:noWrap/>
            <w:vAlign w:val="center"/>
          </w:tcPr>
          <w:p w14:paraId="4BA9D246" w14:textId="148D40B6"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10.89</w:t>
            </w:r>
          </w:p>
        </w:tc>
        <w:tc>
          <w:tcPr>
            <w:tcW w:w="603" w:type="dxa"/>
            <w:gridSpan w:val="2"/>
            <w:shd w:val="clear" w:color="auto" w:fill="auto"/>
            <w:noWrap/>
            <w:vAlign w:val="center"/>
          </w:tcPr>
          <w:p w14:paraId="4CF4B0DA" w14:textId="16BFE01D"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13.4</w:t>
            </w:r>
          </w:p>
        </w:tc>
      </w:tr>
      <w:tr w:rsidR="003E068C" w:rsidRPr="003E068C" w14:paraId="2EAECA0B" w14:textId="77777777" w:rsidTr="00C41ABE">
        <w:trPr>
          <w:gridAfter w:val="1"/>
          <w:wAfter w:w="7" w:type="dxa"/>
          <w:jc w:val="center"/>
        </w:trPr>
        <w:tc>
          <w:tcPr>
            <w:tcW w:w="851" w:type="dxa"/>
            <w:vMerge/>
            <w:shd w:val="clear" w:color="auto" w:fill="auto"/>
            <w:vAlign w:val="center"/>
            <w:hideMark/>
          </w:tcPr>
          <w:p w14:paraId="21A8264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4AD2741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06BDB7C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37404A6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u w:val="single"/>
                <w:lang w:eastAsia="fr-CA"/>
              </w:rPr>
            </w:pPr>
            <w:r w:rsidRPr="00B878AA">
              <w:rPr>
                <w:rFonts w:eastAsia="Times New Roman"/>
                <w:sz w:val="16"/>
                <w:szCs w:val="16"/>
                <w:u w:val="single"/>
                <w:lang w:eastAsia="fr-CA"/>
              </w:rPr>
              <w:t>45</w:t>
            </w:r>
          </w:p>
        </w:tc>
        <w:tc>
          <w:tcPr>
            <w:tcW w:w="567" w:type="dxa"/>
            <w:shd w:val="clear" w:color="auto" w:fill="auto"/>
            <w:noWrap/>
            <w:vAlign w:val="center"/>
            <w:hideMark/>
          </w:tcPr>
          <w:p w14:paraId="3873F81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8.1</w:t>
            </w:r>
          </w:p>
        </w:tc>
        <w:tc>
          <w:tcPr>
            <w:tcW w:w="284" w:type="dxa"/>
            <w:shd w:val="clear" w:color="auto" w:fill="auto"/>
            <w:noWrap/>
            <w:vAlign w:val="center"/>
            <w:hideMark/>
          </w:tcPr>
          <w:p w14:paraId="5402331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7.7</w:t>
            </w:r>
          </w:p>
        </w:tc>
        <w:tc>
          <w:tcPr>
            <w:tcW w:w="850" w:type="dxa"/>
            <w:shd w:val="clear" w:color="auto" w:fill="auto"/>
            <w:noWrap/>
            <w:vAlign w:val="center"/>
          </w:tcPr>
          <w:p w14:paraId="736E1EC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546</w:t>
            </w:r>
          </w:p>
        </w:tc>
        <w:tc>
          <w:tcPr>
            <w:tcW w:w="1156" w:type="dxa"/>
            <w:shd w:val="clear" w:color="auto" w:fill="auto"/>
            <w:noWrap/>
            <w:vAlign w:val="center"/>
            <w:hideMark/>
          </w:tcPr>
          <w:p w14:paraId="629F2E40" w14:textId="1CD4035A"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Ca,Mg,Na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p>
        </w:tc>
        <w:tc>
          <w:tcPr>
            <w:tcW w:w="838" w:type="dxa"/>
            <w:shd w:val="clear" w:color="auto" w:fill="auto"/>
            <w:noWrap/>
            <w:vAlign w:val="center"/>
            <w:hideMark/>
          </w:tcPr>
          <w:p w14:paraId="0FBE409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52</w:t>
            </w:r>
          </w:p>
        </w:tc>
        <w:tc>
          <w:tcPr>
            <w:tcW w:w="851" w:type="dxa"/>
            <w:gridSpan w:val="2"/>
            <w:shd w:val="clear" w:color="auto" w:fill="auto"/>
            <w:noWrap/>
            <w:vAlign w:val="center"/>
            <w:hideMark/>
          </w:tcPr>
          <w:p w14:paraId="10BFC30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29</w:t>
            </w:r>
          </w:p>
        </w:tc>
        <w:tc>
          <w:tcPr>
            <w:tcW w:w="709" w:type="dxa"/>
            <w:gridSpan w:val="2"/>
            <w:shd w:val="clear" w:color="auto" w:fill="auto"/>
            <w:noWrap/>
            <w:vAlign w:val="center"/>
            <w:hideMark/>
          </w:tcPr>
          <w:p w14:paraId="27AADBC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51</w:t>
            </w:r>
          </w:p>
        </w:tc>
        <w:tc>
          <w:tcPr>
            <w:tcW w:w="637" w:type="dxa"/>
            <w:gridSpan w:val="2"/>
            <w:shd w:val="clear" w:color="auto" w:fill="auto"/>
            <w:noWrap/>
            <w:vAlign w:val="center"/>
            <w:hideMark/>
          </w:tcPr>
          <w:p w14:paraId="60BD7BF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4.9</w:t>
            </w:r>
          </w:p>
        </w:tc>
        <w:tc>
          <w:tcPr>
            <w:tcW w:w="993" w:type="dxa"/>
            <w:gridSpan w:val="2"/>
            <w:shd w:val="clear" w:color="auto" w:fill="auto"/>
            <w:noWrap/>
            <w:vAlign w:val="center"/>
            <w:hideMark/>
          </w:tcPr>
          <w:p w14:paraId="604A82E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305</w:t>
            </w:r>
          </w:p>
        </w:tc>
        <w:tc>
          <w:tcPr>
            <w:tcW w:w="555" w:type="dxa"/>
            <w:gridSpan w:val="2"/>
            <w:shd w:val="clear" w:color="auto" w:fill="auto"/>
            <w:noWrap/>
            <w:vAlign w:val="center"/>
            <w:hideMark/>
          </w:tcPr>
          <w:p w14:paraId="258DE57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44</w:t>
            </w:r>
          </w:p>
        </w:tc>
        <w:tc>
          <w:tcPr>
            <w:tcW w:w="499" w:type="dxa"/>
            <w:gridSpan w:val="2"/>
            <w:shd w:val="clear" w:color="auto" w:fill="auto"/>
            <w:noWrap/>
            <w:vAlign w:val="center"/>
            <w:hideMark/>
          </w:tcPr>
          <w:p w14:paraId="4FA9BE0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57</w:t>
            </w:r>
          </w:p>
        </w:tc>
        <w:tc>
          <w:tcPr>
            <w:tcW w:w="561" w:type="dxa"/>
            <w:gridSpan w:val="2"/>
            <w:shd w:val="clear" w:color="auto" w:fill="auto"/>
            <w:noWrap/>
            <w:vAlign w:val="center"/>
          </w:tcPr>
          <w:p w14:paraId="3DEB252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1.7</w:t>
            </w:r>
          </w:p>
        </w:tc>
        <w:tc>
          <w:tcPr>
            <w:tcW w:w="706" w:type="dxa"/>
            <w:gridSpan w:val="2"/>
            <w:shd w:val="clear" w:color="auto" w:fill="auto"/>
            <w:noWrap/>
            <w:vAlign w:val="center"/>
          </w:tcPr>
          <w:p w14:paraId="00FCF528" w14:textId="3D2D6B9B"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74.92</w:t>
            </w:r>
          </w:p>
        </w:tc>
        <w:tc>
          <w:tcPr>
            <w:tcW w:w="728" w:type="dxa"/>
            <w:gridSpan w:val="2"/>
            <w:shd w:val="clear" w:color="auto" w:fill="auto"/>
            <w:noWrap/>
            <w:vAlign w:val="center"/>
          </w:tcPr>
          <w:p w14:paraId="0355A48D" w14:textId="34BFEDA7"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10.85</w:t>
            </w:r>
          </w:p>
        </w:tc>
        <w:tc>
          <w:tcPr>
            <w:tcW w:w="603" w:type="dxa"/>
            <w:gridSpan w:val="2"/>
            <w:shd w:val="clear" w:color="auto" w:fill="auto"/>
            <w:noWrap/>
            <w:vAlign w:val="center"/>
          </w:tcPr>
          <w:p w14:paraId="07965E5D" w14:textId="07FD7432"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13.3</w:t>
            </w:r>
          </w:p>
        </w:tc>
      </w:tr>
      <w:tr w:rsidR="003E068C" w:rsidRPr="003E068C" w14:paraId="2473EAB2" w14:textId="77777777" w:rsidTr="00C41ABE">
        <w:trPr>
          <w:gridAfter w:val="1"/>
          <w:wAfter w:w="7" w:type="dxa"/>
          <w:jc w:val="center"/>
        </w:trPr>
        <w:tc>
          <w:tcPr>
            <w:tcW w:w="851" w:type="dxa"/>
            <w:vMerge/>
            <w:shd w:val="clear" w:color="auto" w:fill="auto"/>
            <w:vAlign w:val="center"/>
            <w:hideMark/>
          </w:tcPr>
          <w:p w14:paraId="0289E1A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7EA328B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545E259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3AD5D1E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52</w:t>
            </w:r>
          </w:p>
        </w:tc>
        <w:tc>
          <w:tcPr>
            <w:tcW w:w="567" w:type="dxa"/>
            <w:shd w:val="clear" w:color="auto" w:fill="auto"/>
            <w:noWrap/>
            <w:vAlign w:val="center"/>
            <w:hideMark/>
          </w:tcPr>
          <w:p w14:paraId="37E1500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8.1</w:t>
            </w:r>
          </w:p>
        </w:tc>
        <w:tc>
          <w:tcPr>
            <w:tcW w:w="284" w:type="dxa"/>
            <w:shd w:val="clear" w:color="auto" w:fill="auto"/>
            <w:noWrap/>
            <w:vAlign w:val="center"/>
            <w:hideMark/>
          </w:tcPr>
          <w:p w14:paraId="59C8B5B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7.7</w:t>
            </w:r>
          </w:p>
        </w:tc>
        <w:tc>
          <w:tcPr>
            <w:tcW w:w="850" w:type="dxa"/>
            <w:shd w:val="clear" w:color="auto" w:fill="auto"/>
            <w:noWrap/>
            <w:vAlign w:val="center"/>
          </w:tcPr>
          <w:p w14:paraId="03F154F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566</w:t>
            </w:r>
          </w:p>
        </w:tc>
        <w:tc>
          <w:tcPr>
            <w:tcW w:w="1156" w:type="dxa"/>
            <w:shd w:val="clear" w:color="auto" w:fill="auto"/>
            <w:noWrap/>
            <w:vAlign w:val="center"/>
            <w:hideMark/>
          </w:tcPr>
          <w:p w14:paraId="5C55C692" w14:textId="5F1AE0A2"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Ca,Mg,Na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p>
        </w:tc>
        <w:tc>
          <w:tcPr>
            <w:tcW w:w="838" w:type="dxa"/>
            <w:shd w:val="clear" w:color="auto" w:fill="auto"/>
            <w:noWrap/>
            <w:vAlign w:val="center"/>
            <w:hideMark/>
          </w:tcPr>
          <w:p w14:paraId="61AFC16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55</w:t>
            </w:r>
          </w:p>
        </w:tc>
        <w:tc>
          <w:tcPr>
            <w:tcW w:w="851" w:type="dxa"/>
            <w:gridSpan w:val="2"/>
            <w:shd w:val="clear" w:color="auto" w:fill="auto"/>
            <w:noWrap/>
            <w:vAlign w:val="center"/>
            <w:hideMark/>
          </w:tcPr>
          <w:p w14:paraId="2E9A871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32</w:t>
            </w:r>
          </w:p>
        </w:tc>
        <w:tc>
          <w:tcPr>
            <w:tcW w:w="709" w:type="dxa"/>
            <w:gridSpan w:val="2"/>
            <w:shd w:val="clear" w:color="auto" w:fill="auto"/>
            <w:noWrap/>
            <w:vAlign w:val="center"/>
            <w:hideMark/>
          </w:tcPr>
          <w:p w14:paraId="793E84C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55</w:t>
            </w:r>
          </w:p>
        </w:tc>
        <w:tc>
          <w:tcPr>
            <w:tcW w:w="637" w:type="dxa"/>
            <w:gridSpan w:val="2"/>
            <w:shd w:val="clear" w:color="auto" w:fill="auto"/>
            <w:noWrap/>
            <w:vAlign w:val="center"/>
            <w:hideMark/>
          </w:tcPr>
          <w:p w14:paraId="6E78C24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5.5</w:t>
            </w:r>
          </w:p>
        </w:tc>
        <w:tc>
          <w:tcPr>
            <w:tcW w:w="993" w:type="dxa"/>
            <w:gridSpan w:val="2"/>
            <w:shd w:val="clear" w:color="auto" w:fill="auto"/>
            <w:noWrap/>
            <w:vAlign w:val="center"/>
            <w:hideMark/>
          </w:tcPr>
          <w:p w14:paraId="29C2CF2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314</w:t>
            </w:r>
          </w:p>
        </w:tc>
        <w:tc>
          <w:tcPr>
            <w:tcW w:w="555" w:type="dxa"/>
            <w:gridSpan w:val="2"/>
            <w:shd w:val="clear" w:color="auto" w:fill="auto"/>
            <w:noWrap/>
            <w:vAlign w:val="center"/>
            <w:hideMark/>
          </w:tcPr>
          <w:p w14:paraId="3190DFA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50</w:t>
            </w:r>
          </w:p>
        </w:tc>
        <w:tc>
          <w:tcPr>
            <w:tcW w:w="499" w:type="dxa"/>
            <w:gridSpan w:val="2"/>
            <w:shd w:val="clear" w:color="auto" w:fill="auto"/>
            <w:noWrap/>
            <w:vAlign w:val="center"/>
            <w:hideMark/>
          </w:tcPr>
          <w:p w14:paraId="1DE1127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63</w:t>
            </w:r>
          </w:p>
        </w:tc>
        <w:tc>
          <w:tcPr>
            <w:tcW w:w="561" w:type="dxa"/>
            <w:gridSpan w:val="2"/>
            <w:shd w:val="clear" w:color="auto" w:fill="auto"/>
            <w:noWrap/>
            <w:vAlign w:val="center"/>
          </w:tcPr>
          <w:p w14:paraId="5E8F12C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1.7</w:t>
            </w:r>
          </w:p>
        </w:tc>
        <w:tc>
          <w:tcPr>
            <w:tcW w:w="706" w:type="dxa"/>
            <w:gridSpan w:val="2"/>
            <w:shd w:val="clear" w:color="auto" w:fill="auto"/>
            <w:noWrap/>
            <w:vAlign w:val="center"/>
          </w:tcPr>
          <w:p w14:paraId="31D18164" w14:textId="1D4E1E71"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74.74</w:t>
            </w:r>
          </w:p>
        </w:tc>
        <w:tc>
          <w:tcPr>
            <w:tcW w:w="728" w:type="dxa"/>
            <w:gridSpan w:val="2"/>
            <w:shd w:val="clear" w:color="auto" w:fill="auto"/>
            <w:noWrap/>
            <w:vAlign w:val="center"/>
          </w:tcPr>
          <w:p w14:paraId="4D5DAC46" w14:textId="6D7D5CEB"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11.02</w:t>
            </w:r>
          </w:p>
        </w:tc>
        <w:tc>
          <w:tcPr>
            <w:tcW w:w="603" w:type="dxa"/>
            <w:gridSpan w:val="2"/>
            <w:shd w:val="clear" w:color="auto" w:fill="auto"/>
            <w:noWrap/>
            <w:vAlign w:val="center"/>
          </w:tcPr>
          <w:p w14:paraId="1DA6D631" w14:textId="47B2039F"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13.3</w:t>
            </w:r>
          </w:p>
        </w:tc>
      </w:tr>
      <w:tr w:rsidR="003E068C" w:rsidRPr="003E068C" w14:paraId="60C90B96" w14:textId="77777777" w:rsidTr="00C41ABE">
        <w:trPr>
          <w:gridAfter w:val="1"/>
          <w:wAfter w:w="7" w:type="dxa"/>
          <w:jc w:val="center"/>
        </w:trPr>
        <w:tc>
          <w:tcPr>
            <w:tcW w:w="851" w:type="dxa"/>
            <w:vMerge/>
            <w:shd w:val="clear" w:color="auto" w:fill="auto"/>
            <w:vAlign w:val="center"/>
            <w:hideMark/>
          </w:tcPr>
          <w:p w14:paraId="0DFF80C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1DFC7BD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7A285C6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796E693B" w14:textId="77777777" w:rsidR="009D39F7" w:rsidRPr="00B878AA" w:rsidRDefault="009D39F7" w:rsidP="003E068C">
            <w:pPr>
              <w:autoSpaceDE w:val="0"/>
              <w:autoSpaceDN w:val="0"/>
              <w:adjustRightInd w:val="0"/>
              <w:snapToGrid w:val="0"/>
              <w:spacing w:line="240" w:lineRule="auto"/>
              <w:jc w:val="center"/>
              <w:rPr>
                <w:rFonts w:eastAsia="Times New Roman"/>
                <w:b/>
                <w:bCs/>
                <w:sz w:val="16"/>
                <w:szCs w:val="16"/>
                <w:lang w:eastAsia="fr-CA"/>
              </w:rPr>
            </w:pPr>
            <w:r w:rsidRPr="00B878AA">
              <w:rPr>
                <w:rFonts w:eastAsia="Times New Roman"/>
                <w:b/>
                <w:bCs/>
                <w:color w:val="7F7F7F"/>
                <w:sz w:val="16"/>
                <w:szCs w:val="16"/>
                <w:lang w:eastAsia="fr-CA"/>
              </w:rPr>
              <w:t>55</w:t>
            </w:r>
          </w:p>
        </w:tc>
        <w:tc>
          <w:tcPr>
            <w:tcW w:w="567" w:type="dxa"/>
            <w:shd w:val="clear" w:color="auto" w:fill="auto"/>
            <w:noWrap/>
            <w:vAlign w:val="center"/>
            <w:hideMark/>
          </w:tcPr>
          <w:p w14:paraId="1BC80016"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8.0</w:t>
            </w:r>
          </w:p>
        </w:tc>
        <w:tc>
          <w:tcPr>
            <w:tcW w:w="284" w:type="dxa"/>
            <w:shd w:val="clear" w:color="auto" w:fill="auto"/>
            <w:noWrap/>
            <w:vAlign w:val="center"/>
            <w:hideMark/>
          </w:tcPr>
          <w:p w14:paraId="62B8050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7.5</w:t>
            </w:r>
          </w:p>
        </w:tc>
        <w:tc>
          <w:tcPr>
            <w:tcW w:w="850" w:type="dxa"/>
            <w:shd w:val="clear" w:color="auto" w:fill="auto"/>
            <w:noWrap/>
            <w:vAlign w:val="center"/>
          </w:tcPr>
          <w:p w14:paraId="48A526B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575</w:t>
            </w:r>
          </w:p>
        </w:tc>
        <w:tc>
          <w:tcPr>
            <w:tcW w:w="1156" w:type="dxa"/>
            <w:shd w:val="clear" w:color="auto" w:fill="auto"/>
            <w:noWrap/>
            <w:vAlign w:val="center"/>
            <w:hideMark/>
          </w:tcPr>
          <w:p w14:paraId="02CA5601" w14:textId="5CB2DE88"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Ca,Mg,Na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p>
        </w:tc>
        <w:tc>
          <w:tcPr>
            <w:tcW w:w="838" w:type="dxa"/>
            <w:shd w:val="clear" w:color="auto" w:fill="auto"/>
            <w:noWrap/>
            <w:vAlign w:val="center"/>
            <w:hideMark/>
          </w:tcPr>
          <w:p w14:paraId="275227F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54</w:t>
            </w:r>
          </w:p>
        </w:tc>
        <w:tc>
          <w:tcPr>
            <w:tcW w:w="851" w:type="dxa"/>
            <w:gridSpan w:val="2"/>
            <w:shd w:val="clear" w:color="auto" w:fill="auto"/>
            <w:noWrap/>
            <w:vAlign w:val="center"/>
            <w:hideMark/>
          </w:tcPr>
          <w:p w14:paraId="15D368F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32</w:t>
            </w:r>
          </w:p>
        </w:tc>
        <w:tc>
          <w:tcPr>
            <w:tcW w:w="709" w:type="dxa"/>
            <w:gridSpan w:val="2"/>
            <w:shd w:val="clear" w:color="auto" w:fill="auto"/>
            <w:noWrap/>
            <w:vAlign w:val="center"/>
            <w:hideMark/>
          </w:tcPr>
          <w:p w14:paraId="6A6F052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59</w:t>
            </w:r>
          </w:p>
        </w:tc>
        <w:tc>
          <w:tcPr>
            <w:tcW w:w="637" w:type="dxa"/>
            <w:gridSpan w:val="2"/>
            <w:shd w:val="clear" w:color="auto" w:fill="auto"/>
            <w:noWrap/>
            <w:vAlign w:val="center"/>
            <w:hideMark/>
          </w:tcPr>
          <w:p w14:paraId="40267EB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5.5</w:t>
            </w:r>
          </w:p>
        </w:tc>
        <w:tc>
          <w:tcPr>
            <w:tcW w:w="993" w:type="dxa"/>
            <w:gridSpan w:val="2"/>
            <w:shd w:val="clear" w:color="auto" w:fill="auto"/>
            <w:noWrap/>
            <w:vAlign w:val="center"/>
            <w:hideMark/>
          </w:tcPr>
          <w:p w14:paraId="1FD722F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304</w:t>
            </w:r>
          </w:p>
        </w:tc>
        <w:tc>
          <w:tcPr>
            <w:tcW w:w="555" w:type="dxa"/>
            <w:gridSpan w:val="2"/>
            <w:shd w:val="clear" w:color="auto" w:fill="auto"/>
            <w:noWrap/>
            <w:vAlign w:val="center"/>
            <w:hideMark/>
          </w:tcPr>
          <w:p w14:paraId="1B664A2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67</w:t>
            </w:r>
          </w:p>
        </w:tc>
        <w:tc>
          <w:tcPr>
            <w:tcW w:w="499" w:type="dxa"/>
            <w:gridSpan w:val="2"/>
            <w:shd w:val="clear" w:color="auto" w:fill="auto"/>
            <w:noWrap/>
            <w:vAlign w:val="center"/>
            <w:hideMark/>
          </w:tcPr>
          <w:p w14:paraId="3E38B3B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60</w:t>
            </w:r>
          </w:p>
        </w:tc>
        <w:tc>
          <w:tcPr>
            <w:tcW w:w="561" w:type="dxa"/>
            <w:gridSpan w:val="2"/>
            <w:shd w:val="clear" w:color="auto" w:fill="auto"/>
            <w:noWrap/>
            <w:vAlign w:val="center"/>
          </w:tcPr>
          <w:p w14:paraId="2053F1C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sz w:val="16"/>
                <w:szCs w:val="16"/>
              </w:rPr>
              <w:t>1.4</w:t>
            </w:r>
          </w:p>
        </w:tc>
        <w:tc>
          <w:tcPr>
            <w:tcW w:w="706" w:type="dxa"/>
            <w:gridSpan w:val="2"/>
            <w:shd w:val="clear" w:color="auto" w:fill="auto"/>
            <w:noWrap/>
            <w:vAlign w:val="center"/>
          </w:tcPr>
          <w:p w14:paraId="4F6F9897" w14:textId="5DA87AE7"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75.06</w:t>
            </w:r>
          </w:p>
        </w:tc>
        <w:tc>
          <w:tcPr>
            <w:tcW w:w="728" w:type="dxa"/>
            <w:gridSpan w:val="2"/>
            <w:shd w:val="clear" w:color="auto" w:fill="auto"/>
            <w:noWrap/>
            <w:vAlign w:val="center"/>
          </w:tcPr>
          <w:p w14:paraId="073DBA44" w14:textId="791E2121"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10.93</w:t>
            </w:r>
          </w:p>
        </w:tc>
        <w:tc>
          <w:tcPr>
            <w:tcW w:w="603" w:type="dxa"/>
            <w:gridSpan w:val="2"/>
            <w:shd w:val="clear" w:color="auto" w:fill="auto"/>
            <w:noWrap/>
            <w:vAlign w:val="center"/>
          </w:tcPr>
          <w:p w14:paraId="661F7B46" w14:textId="0CAD290A"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13.1</w:t>
            </w:r>
          </w:p>
        </w:tc>
      </w:tr>
      <w:tr w:rsidR="003E068C" w:rsidRPr="003E068C" w14:paraId="34850D5D" w14:textId="77777777" w:rsidTr="00C41ABE">
        <w:trPr>
          <w:gridAfter w:val="1"/>
          <w:wAfter w:w="7" w:type="dxa"/>
          <w:jc w:val="center"/>
        </w:trPr>
        <w:tc>
          <w:tcPr>
            <w:tcW w:w="851" w:type="dxa"/>
            <w:vMerge/>
            <w:shd w:val="clear" w:color="auto" w:fill="auto"/>
            <w:vAlign w:val="center"/>
            <w:hideMark/>
          </w:tcPr>
          <w:p w14:paraId="1BCE6D8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shd w:val="clear" w:color="auto" w:fill="auto"/>
            <w:vAlign w:val="center"/>
            <w:hideMark/>
          </w:tcPr>
          <w:p w14:paraId="594DC84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Mirabel</w:t>
            </w:r>
          </w:p>
        </w:tc>
        <w:tc>
          <w:tcPr>
            <w:tcW w:w="747" w:type="dxa"/>
            <w:shd w:val="clear" w:color="auto" w:fill="auto"/>
            <w:noWrap/>
            <w:vAlign w:val="center"/>
            <w:hideMark/>
          </w:tcPr>
          <w:p w14:paraId="1809815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Charles</w:t>
            </w:r>
          </w:p>
        </w:tc>
        <w:tc>
          <w:tcPr>
            <w:tcW w:w="950" w:type="dxa"/>
            <w:shd w:val="clear" w:color="auto" w:fill="auto"/>
            <w:noWrap/>
            <w:vAlign w:val="center"/>
            <w:hideMark/>
          </w:tcPr>
          <w:p w14:paraId="3FB3EB3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10</w:t>
            </w:r>
          </w:p>
        </w:tc>
        <w:tc>
          <w:tcPr>
            <w:tcW w:w="567" w:type="dxa"/>
            <w:shd w:val="clear" w:color="auto" w:fill="auto"/>
            <w:noWrap/>
            <w:vAlign w:val="center"/>
            <w:hideMark/>
          </w:tcPr>
          <w:p w14:paraId="7453FD3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9.9</w:t>
            </w:r>
          </w:p>
        </w:tc>
        <w:tc>
          <w:tcPr>
            <w:tcW w:w="284" w:type="dxa"/>
            <w:shd w:val="clear" w:color="auto" w:fill="auto"/>
            <w:noWrap/>
            <w:vAlign w:val="center"/>
            <w:hideMark/>
          </w:tcPr>
          <w:p w14:paraId="5526FFF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6.9</w:t>
            </w:r>
          </w:p>
        </w:tc>
        <w:tc>
          <w:tcPr>
            <w:tcW w:w="850" w:type="dxa"/>
            <w:shd w:val="clear" w:color="auto" w:fill="auto"/>
            <w:noWrap/>
            <w:vAlign w:val="center"/>
          </w:tcPr>
          <w:p w14:paraId="5435F19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849</w:t>
            </w:r>
          </w:p>
        </w:tc>
        <w:tc>
          <w:tcPr>
            <w:tcW w:w="1156" w:type="dxa"/>
            <w:shd w:val="clear" w:color="auto" w:fill="auto"/>
            <w:noWrap/>
            <w:vAlign w:val="center"/>
            <w:hideMark/>
          </w:tcPr>
          <w:p w14:paraId="3482A977" w14:textId="6DBAD3B2"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HCO</w:t>
            </w:r>
            <w:r w:rsidRPr="00A45811">
              <w:rPr>
                <w:rFonts w:eastAsia="Times New Roman"/>
                <w:sz w:val="16"/>
                <w:szCs w:val="16"/>
                <w:vertAlign w:val="subscript"/>
                <w:lang w:eastAsia="fr-CA"/>
              </w:rPr>
              <w:t>3,</w:t>
            </w:r>
            <w:r w:rsidRPr="00A45811">
              <w:rPr>
                <w:rFonts w:eastAsia="Times New Roman"/>
                <w:sz w:val="16"/>
                <w:szCs w:val="16"/>
                <w:lang w:eastAsia="fr-CA"/>
              </w:rPr>
              <w:t>SO</w:t>
            </w:r>
            <w:r w:rsidRPr="00A45811">
              <w:rPr>
                <w:rFonts w:eastAsia="Times New Roman"/>
                <w:sz w:val="16"/>
                <w:szCs w:val="16"/>
                <w:vertAlign w:val="subscript"/>
                <w:lang w:eastAsia="fr-CA"/>
              </w:rPr>
              <w:t>4</w:t>
            </w:r>
          </w:p>
        </w:tc>
        <w:tc>
          <w:tcPr>
            <w:tcW w:w="838" w:type="dxa"/>
            <w:shd w:val="clear" w:color="auto" w:fill="auto"/>
            <w:noWrap/>
            <w:vAlign w:val="center"/>
            <w:hideMark/>
          </w:tcPr>
          <w:p w14:paraId="13AC122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110</w:t>
            </w:r>
          </w:p>
        </w:tc>
        <w:tc>
          <w:tcPr>
            <w:tcW w:w="851" w:type="dxa"/>
            <w:gridSpan w:val="2"/>
            <w:shd w:val="clear" w:color="auto" w:fill="auto"/>
            <w:noWrap/>
            <w:vAlign w:val="center"/>
            <w:hideMark/>
          </w:tcPr>
          <w:p w14:paraId="4B400B93"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43</w:t>
            </w:r>
          </w:p>
        </w:tc>
        <w:tc>
          <w:tcPr>
            <w:tcW w:w="709" w:type="dxa"/>
            <w:gridSpan w:val="2"/>
            <w:shd w:val="clear" w:color="auto" w:fill="auto"/>
            <w:noWrap/>
            <w:vAlign w:val="center"/>
            <w:hideMark/>
          </w:tcPr>
          <w:p w14:paraId="7308D7D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57</w:t>
            </w:r>
          </w:p>
        </w:tc>
        <w:tc>
          <w:tcPr>
            <w:tcW w:w="637" w:type="dxa"/>
            <w:gridSpan w:val="2"/>
            <w:shd w:val="clear" w:color="auto" w:fill="auto"/>
            <w:noWrap/>
            <w:vAlign w:val="center"/>
            <w:hideMark/>
          </w:tcPr>
          <w:p w14:paraId="354D8AA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4.1</w:t>
            </w:r>
          </w:p>
        </w:tc>
        <w:tc>
          <w:tcPr>
            <w:tcW w:w="993" w:type="dxa"/>
            <w:gridSpan w:val="2"/>
            <w:shd w:val="clear" w:color="auto" w:fill="auto"/>
            <w:noWrap/>
            <w:vAlign w:val="center"/>
            <w:hideMark/>
          </w:tcPr>
          <w:p w14:paraId="7ACE0FF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355</w:t>
            </w:r>
          </w:p>
        </w:tc>
        <w:tc>
          <w:tcPr>
            <w:tcW w:w="555" w:type="dxa"/>
            <w:gridSpan w:val="2"/>
            <w:shd w:val="clear" w:color="auto" w:fill="auto"/>
            <w:noWrap/>
            <w:vAlign w:val="center"/>
            <w:hideMark/>
          </w:tcPr>
          <w:p w14:paraId="4E46B5D8"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100</w:t>
            </w:r>
          </w:p>
        </w:tc>
        <w:tc>
          <w:tcPr>
            <w:tcW w:w="499" w:type="dxa"/>
            <w:gridSpan w:val="2"/>
            <w:shd w:val="clear" w:color="auto" w:fill="auto"/>
            <w:noWrap/>
            <w:vAlign w:val="center"/>
            <w:hideMark/>
          </w:tcPr>
          <w:p w14:paraId="09BAEDE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180</w:t>
            </w:r>
          </w:p>
        </w:tc>
        <w:tc>
          <w:tcPr>
            <w:tcW w:w="561" w:type="dxa"/>
            <w:gridSpan w:val="2"/>
            <w:shd w:val="clear" w:color="auto" w:fill="auto"/>
            <w:noWrap/>
            <w:vAlign w:val="center"/>
          </w:tcPr>
          <w:p w14:paraId="6346310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0.9</w:t>
            </w:r>
          </w:p>
        </w:tc>
        <w:tc>
          <w:tcPr>
            <w:tcW w:w="706" w:type="dxa"/>
            <w:gridSpan w:val="2"/>
            <w:shd w:val="clear" w:color="auto" w:fill="auto"/>
            <w:noWrap/>
            <w:vAlign w:val="center"/>
          </w:tcPr>
          <w:p w14:paraId="16D3BF86" w14:textId="5A1B50EC"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61.09</w:t>
            </w:r>
          </w:p>
        </w:tc>
        <w:tc>
          <w:tcPr>
            <w:tcW w:w="728" w:type="dxa"/>
            <w:gridSpan w:val="2"/>
            <w:shd w:val="clear" w:color="auto" w:fill="auto"/>
            <w:noWrap/>
            <w:vAlign w:val="center"/>
          </w:tcPr>
          <w:p w14:paraId="54673352" w14:textId="3C754E08"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8.99</w:t>
            </w:r>
          </w:p>
        </w:tc>
        <w:tc>
          <w:tcPr>
            <w:tcW w:w="603" w:type="dxa"/>
            <w:gridSpan w:val="2"/>
            <w:shd w:val="clear" w:color="auto" w:fill="auto"/>
            <w:noWrap/>
            <w:vAlign w:val="center"/>
          </w:tcPr>
          <w:p w14:paraId="1628C11C" w14:textId="4B3A59DC"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14.1</w:t>
            </w:r>
          </w:p>
        </w:tc>
      </w:tr>
      <w:tr w:rsidR="00B878AA" w:rsidRPr="003E068C" w14:paraId="7589A632" w14:textId="77777777" w:rsidTr="00C41ABE">
        <w:trPr>
          <w:gridAfter w:val="1"/>
          <w:wAfter w:w="7" w:type="dxa"/>
          <w:jc w:val="center"/>
        </w:trPr>
        <w:tc>
          <w:tcPr>
            <w:tcW w:w="851" w:type="dxa"/>
            <w:vMerge w:val="restart"/>
            <w:shd w:val="clear" w:color="auto" w:fill="auto"/>
            <w:noWrap/>
            <w:vAlign w:val="center"/>
            <w:hideMark/>
          </w:tcPr>
          <w:p w14:paraId="6F5E797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Limestone</w:t>
            </w:r>
          </w:p>
        </w:tc>
        <w:tc>
          <w:tcPr>
            <w:tcW w:w="931" w:type="dxa"/>
            <w:vMerge w:val="restart"/>
            <w:shd w:val="clear" w:color="auto" w:fill="auto"/>
            <w:vAlign w:val="center"/>
            <w:hideMark/>
          </w:tcPr>
          <w:p w14:paraId="16675594" w14:textId="1CF88BE6"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S</w:t>
            </w:r>
            <w:r w:rsidR="003228AE" w:rsidRPr="00B878AA">
              <w:rPr>
                <w:rFonts w:eastAsia="Times New Roman"/>
                <w:sz w:val="16"/>
                <w:szCs w:val="16"/>
                <w:lang w:eastAsia="fr-CA"/>
              </w:rPr>
              <w:t>t.</w:t>
            </w:r>
            <w:r w:rsidR="00F039AD" w:rsidRPr="00B878AA">
              <w:rPr>
                <w:rFonts w:eastAsia="Times New Roman"/>
                <w:sz w:val="16"/>
                <w:szCs w:val="16"/>
                <w:lang w:eastAsia="fr-CA"/>
              </w:rPr>
              <w:t xml:space="preserve"> </w:t>
            </w:r>
            <w:r w:rsidRPr="00B878AA">
              <w:rPr>
                <w:rFonts w:eastAsia="Times New Roman"/>
                <w:sz w:val="16"/>
                <w:szCs w:val="16"/>
                <w:lang w:eastAsia="fr-CA"/>
              </w:rPr>
              <w:t>Roch</w:t>
            </w:r>
          </w:p>
        </w:tc>
        <w:tc>
          <w:tcPr>
            <w:tcW w:w="747" w:type="dxa"/>
            <w:vMerge w:val="restart"/>
            <w:shd w:val="clear" w:color="auto" w:fill="auto"/>
            <w:noWrap/>
            <w:vAlign w:val="center"/>
            <w:hideMark/>
          </w:tcPr>
          <w:p w14:paraId="154AC5D7" w14:textId="51A4EC2B"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2017</w:t>
            </w:r>
            <w:r w:rsidR="002529A5" w:rsidRPr="00B878AA">
              <w:rPr>
                <w:rFonts w:eastAsia="Times New Roman"/>
                <w:sz w:val="16"/>
                <w:szCs w:val="16"/>
                <w:lang w:eastAsia="fr-CA"/>
              </w:rPr>
              <w:t>–</w:t>
            </w:r>
            <w:r w:rsidRPr="00B878AA">
              <w:rPr>
                <w:rFonts w:eastAsia="Times New Roman"/>
                <w:sz w:val="16"/>
                <w:szCs w:val="16"/>
                <w:lang w:eastAsia="fr-CA"/>
              </w:rPr>
              <w:t>04</w:t>
            </w:r>
          </w:p>
        </w:tc>
        <w:tc>
          <w:tcPr>
            <w:tcW w:w="950" w:type="dxa"/>
            <w:shd w:val="clear" w:color="auto" w:fill="auto"/>
            <w:noWrap/>
            <w:vAlign w:val="center"/>
            <w:hideMark/>
          </w:tcPr>
          <w:p w14:paraId="70948FFC" w14:textId="77777777" w:rsidR="009D39F7" w:rsidRPr="00B878AA" w:rsidRDefault="009D39F7" w:rsidP="003E068C">
            <w:pPr>
              <w:autoSpaceDE w:val="0"/>
              <w:autoSpaceDN w:val="0"/>
              <w:adjustRightInd w:val="0"/>
              <w:snapToGrid w:val="0"/>
              <w:spacing w:line="240" w:lineRule="auto"/>
              <w:jc w:val="center"/>
              <w:rPr>
                <w:rFonts w:eastAsia="Times New Roman"/>
                <w:b/>
                <w:sz w:val="16"/>
                <w:szCs w:val="16"/>
                <w:lang w:eastAsia="fr-CA"/>
              </w:rPr>
            </w:pPr>
            <w:r w:rsidRPr="00B878AA">
              <w:rPr>
                <w:rFonts w:eastAsia="Times New Roman"/>
                <w:b/>
                <w:sz w:val="16"/>
                <w:szCs w:val="16"/>
                <w:lang w:eastAsia="fr-CA"/>
              </w:rPr>
              <w:t>11</w:t>
            </w:r>
          </w:p>
        </w:tc>
        <w:tc>
          <w:tcPr>
            <w:tcW w:w="567" w:type="dxa"/>
            <w:shd w:val="clear" w:color="auto" w:fill="auto"/>
            <w:noWrap/>
            <w:vAlign w:val="center"/>
            <w:hideMark/>
          </w:tcPr>
          <w:p w14:paraId="0E64B04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9.8</w:t>
            </w:r>
          </w:p>
        </w:tc>
        <w:tc>
          <w:tcPr>
            <w:tcW w:w="284" w:type="dxa"/>
            <w:shd w:val="clear" w:color="auto" w:fill="auto"/>
            <w:noWrap/>
            <w:vAlign w:val="center"/>
            <w:hideMark/>
          </w:tcPr>
          <w:p w14:paraId="47CC809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6.9</w:t>
            </w:r>
          </w:p>
        </w:tc>
        <w:tc>
          <w:tcPr>
            <w:tcW w:w="850" w:type="dxa"/>
            <w:shd w:val="clear" w:color="auto" w:fill="auto"/>
            <w:noWrap/>
            <w:vAlign w:val="center"/>
          </w:tcPr>
          <w:p w14:paraId="0B6F16E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879</w:t>
            </w:r>
          </w:p>
        </w:tc>
        <w:tc>
          <w:tcPr>
            <w:tcW w:w="1156" w:type="dxa"/>
            <w:shd w:val="clear" w:color="auto" w:fill="auto"/>
            <w:noWrap/>
            <w:vAlign w:val="center"/>
            <w:hideMark/>
          </w:tcPr>
          <w:p w14:paraId="3FCE45CE" w14:textId="40CDB697"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Cl,HCO</w:t>
            </w:r>
            <w:r w:rsidRPr="00A45811">
              <w:rPr>
                <w:rFonts w:eastAsia="Times New Roman"/>
                <w:sz w:val="16"/>
                <w:szCs w:val="16"/>
                <w:vertAlign w:val="subscript"/>
                <w:lang w:eastAsia="fr-CA"/>
              </w:rPr>
              <w:t>3</w:t>
            </w:r>
          </w:p>
        </w:tc>
        <w:tc>
          <w:tcPr>
            <w:tcW w:w="838" w:type="dxa"/>
            <w:shd w:val="clear" w:color="auto" w:fill="auto"/>
            <w:noWrap/>
            <w:vAlign w:val="center"/>
            <w:hideMark/>
          </w:tcPr>
          <w:p w14:paraId="6758B7E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120</w:t>
            </w:r>
          </w:p>
        </w:tc>
        <w:tc>
          <w:tcPr>
            <w:tcW w:w="851" w:type="dxa"/>
            <w:gridSpan w:val="2"/>
            <w:shd w:val="clear" w:color="auto" w:fill="auto"/>
            <w:noWrap/>
            <w:vAlign w:val="center"/>
            <w:hideMark/>
          </w:tcPr>
          <w:p w14:paraId="5194822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59</w:t>
            </w:r>
          </w:p>
        </w:tc>
        <w:tc>
          <w:tcPr>
            <w:tcW w:w="709" w:type="dxa"/>
            <w:gridSpan w:val="2"/>
            <w:shd w:val="clear" w:color="auto" w:fill="auto"/>
            <w:noWrap/>
            <w:vAlign w:val="center"/>
            <w:hideMark/>
          </w:tcPr>
          <w:p w14:paraId="4952969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41</w:t>
            </w:r>
          </w:p>
        </w:tc>
        <w:tc>
          <w:tcPr>
            <w:tcW w:w="637" w:type="dxa"/>
            <w:gridSpan w:val="2"/>
            <w:shd w:val="clear" w:color="auto" w:fill="auto"/>
            <w:noWrap/>
            <w:vAlign w:val="center"/>
            <w:hideMark/>
          </w:tcPr>
          <w:p w14:paraId="006913E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8.1</w:t>
            </w:r>
          </w:p>
        </w:tc>
        <w:tc>
          <w:tcPr>
            <w:tcW w:w="993" w:type="dxa"/>
            <w:gridSpan w:val="2"/>
            <w:shd w:val="clear" w:color="auto" w:fill="auto"/>
            <w:noWrap/>
            <w:vAlign w:val="center"/>
            <w:hideMark/>
          </w:tcPr>
          <w:p w14:paraId="5A2E2D7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353</w:t>
            </w:r>
          </w:p>
        </w:tc>
        <w:tc>
          <w:tcPr>
            <w:tcW w:w="555" w:type="dxa"/>
            <w:gridSpan w:val="2"/>
            <w:shd w:val="clear" w:color="auto" w:fill="auto"/>
            <w:noWrap/>
            <w:vAlign w:val="center"/>
            <w:hideMark/>
          </w:tcPr>
          <w:p w14:paraId="3893C55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230</w:t>
            </w:r>
          </w:p>
        </w:tc>
        <w:tc>
          <w:tcPr>
            <w:tcW w:w="499" w:type="dxa"/>
            <w:gridSpan w:val="2"/>
            <w:shd w:val="clear" w:color="auto" w:fill="auto"/>
            <w:noWrap/>
            <w:vAlign w:val="center"/>
            <w:hideMark/>
          </w:tcPr>
          <w:p w14:paraId="180673E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68</w:t>
            </w:r>
          </w:p>
        </w:tc>
        <w:tc>
          <w:tcPr>
            <w:tcW w:w="561" w:type="dxa"/>
            <w:gridSpan w:val="2"/>
            <w:shd w:val="clear" w:color="auto" w:fill="auto"/>
            <w:noWrap/>
            <w:vAlign w:val="center"/>
          </w:tcPr>
          <w:p w14:paraId="4A99EBF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0.3</w:t>
            </w:r>
          </w:p>
        </w:tc>
        <w:tc>
          <w:tcPr>
            <w:tcW w:w="706" w:type="dxa"/>
            <w:gridSpan w:val="2"/>
            <w:shd w:val="clear" w:color="auto" w:fill="auto"/>
            <w:noWrap/>
            <w:vAlign w:val="center"/>
          </w:tcPr>
          <w:p w14:paraId="0DFF3F26" w14:textId="43A751C1"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70.19</w:t>
            </w:r>
          </w:p>
        </w:tc>
        <w:tc>
          <w:tcPr>
            <w:tcW w:w="728" w:type="dxa"/>
            <w:gridSpan w:val="2"/>
            <w:shd w:val="clear" w:color="auto" w:fill="auto"/>
            <w:noWrap/>
            <w:vAlign w:val="center"/>
          </w:tcPr>
          <w:p w14:paraId="14266069" w14:textId="3F68DC17"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10.53</w:t>
            </w:r>
          </w:p>
        </w:tc>
        <w:tc>
          <w:tcPr>
            <w:tcW w:w="603" w:type="dxa"/>
            <w:gridSpan w:val="2"/>
            <w:shd w:val="clear" w:color="auto" w:fill="auto"/>
            <w:noWrap/>
            <w:vAlign w:val="center"/>
          </w:tcPr>
          <w:p w14:paraId="1F4D5A30" w14:textId="3392A1A1"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11.9</w:t>
            </w:r>
          </w:p>
        </w:tc>
      </w:tr>
      <w:tr w:rsidR="003E068C" w:rsidRPr="003E068C" w14:paraId="22093A8E" w14:textId="77777777" w:rsidTr="00C41ABE">
        <w:trPr>
          <w:gridAfter w:val="1"/>
          <w:wAfter w:w="7" w:type="dxa"/>
          <w:jc w:val="center"/>
        </w:trPr>
        <w:tc>
          <w:tcPr>
            <w:tcW w:w="851" w:type="dxa"/>
            <w:vMerge/>
            <w:shd w:val="clear" w:color="auto" w:fill="auto"/>
            <w:vAlign w:val="center"/>
            <w:hideMark/>
          </w:tcPr>
          <w:p w14:paraId="3CB9C64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31" w:type="dxa"/>
            <w:vMerge/>
            <w:shd w:val="clear" w:color="auto" w:fill="auto"/>
            <w:vAlign w:val="center"/>
            <w:hideMark/>
          </w:tcPr>
          <w:p w14:paraId="3DF92E7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747" w:type="dxa"/>
            <w:vMerge/>
            <w:shd w:val="clear" w:color="auto" w:fill="auto"/>
            <w:vAlign w:val="center"/>
            <w:hideMark/>
          </w:tcPr>
          <w:p w14:paraId="1B77A74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950" w:type="dxa"/>
            <w:shd w:val="clear" w:color="auto" w:fill="auto"/>
            <w:noWrap/>
            <w:vAlign w:val="center"/>
            <w:hideMark/>
          </w:tcPr>
          <w:p w14:paraId="58591CC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71</w:t>
            </w:r>
          </w:p>
        </w:tc>
        <w:tc>
          <w:tcPr>
            <w:tcW w:w="567" w:type="dxa"/>
            <w:shd w:val="clear" w:color="auto" w:fill="auto"/>
            <w:noWrap/>
            <w:vAlign w:val="center"/>
            <w:hideMark/>
          </w:tcPr>
          <w:p w14:paraId="6DB274F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9.2</w:t>
            </w:r>
          </w:p>
        </w:tc>
        <w:tc>
          <w:tcPr>
            <w:tcW w:w="284" w:type="dxa"/>
            <w:shd w:val="clear" w:color="auto" w:fill="auto"/>
            <w:noWrap/>
            <w:vAlign w:val="center"/>
            <w:hideMark/>
          </w:tcPr>
          <w:p w14:paraId="723DB35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7.2</w:t>
            </w:r>
          </w:p>
        </w:tc>
        <w:tc>
          <w:tcPr>
            <w:tcW w:w="850" w:type="dxa"/>
            <w:shd w:val="clear" w:color="auto" w:fill="auto"/>
            <w:noWrap/>
            <w:vAlign w:val="center"/>
          </w:tcPr>
          <w:p w14:paraId="441616CD"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919</w:t>
            </w:r>
          </w:p>
        </w:tc>
        <w:tc>
          <w:tcPr>
            <w:tcW w:w="1156" w:type="dxa"/>
            <w:shd w:val="clear" w:color="auto" w:fill="auto"/>
            <w:noWrap/>
            <w:vAlign w:val="center"/>
            <w:hideMark/>
          </w:tcPr>
          <w:p w14:paraId="1E759C9A" w14:textId="51AA6E4F" w:rsidR="009D39F7" w:rsidRPr="00A45811" w:rsidRDefault="009D39F7" w:rsidP="003E068C">
            <w:pPr>
              <w:autoSpaceDE w:val="0"/>
              <w:autoSpaceDN w:val="0"/>
              <w:adjustRightInd w:val="0"/>
              <w:snapToGrid w:val="0"/>
              <w:spacing w:line="240" w:lineRule="auto"/>
              <w:jc w:val="center"/>
              <w:rPr>
                <w:rFonts w:eastAsia="Times New Roman"/>
                <w:sz w:val="16"/>
                <w:szCs w:val="16"/>
                <w:lang w:eastAsia="fr-CA"/>
              </w:rPr>
            </w:pPr>
            <w:r w:rsidRPr="00A45811">
              <w:rPr>
                <w:rFonts w:eastAsia="Times New Roman"/>
                <w:sz w:val="16"/>
                <w:szCs w:val="16"/>
                <w:lang w:eastAsia="fr-CA"/>
              </w:rPr>
              <w:t xml:space="preserve">Ca,Mg </w:t>
            </w:r>
            <w:r w:rsidR="002529A5" w:rsidRPr="00A45811">
              <w:rPr>
                <w:rFonts w:eastAsia="Times New Roman"/>
                <w:sz w:val="16"/>
                <w:szCs w:val="16"/>
                <w:lang w:eastAsia="fr-CA"/>
              </w:rPr>
              <w:t>–</w:t>
            </w:r>
            <w:r w:rsidRPr="00A45811">
              <w:rPr>
                <w:rFonts w:eastAsia="Times New Roman"/>
                <w:sz w:val="16"/>
                <w:szCs w:val="16"/>
                <w:lang w:eastAsia="fr-CA"/>
              </w:rPr>
              <w:t xml:space="preserve"> Cl,HCO</w:t>
            </w:r>
            <w:r w:rsidRPr="00A45811">
              <w:rPr>
                <w:rFonts w:eastAsia="Times New Roman"/>
                <w:sz w:val="16"/>
                <w:szCs w:val="16"/>
                <w:vertAlign w:val="subscript"/>
                <w:lang w:eastAsia="fr-CA"/>
              </w:rPr>
              <w:t>3</w:t>
            </w:r>
          </w:p>
        </w:tc>
        <w:tc>
          <w:tcPr>
            <w:tcW w:w="838" w:type="dxa"/>
            <w:shd w:val="clear" w:color="auto" w:fill="auto"/>
            <w:noWrap/>
            <w:vAlign w:val="center"/>
            <w:hideMark/>
          </w:tcPr>
          <w:p w14:paraId="2105898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110</w:t>
            </w:r>
          </w:p>
        </w:tc>
        <w:tc>
          <w:tcPr>
            <w:tcW w:w="851" w:type="dxa"/>
            <w:gridSpan w:val="2"/>
            <w:shd w:val="clear" w:color="auto" w:fill="auto"/>
            <w:noWrap/>
            <w:vAlign w:val="center"/>
            <w:hideMark/>
          </w:tcPr>
          <w:p w14:paraId="6C79C1C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60</w:t>
            </w:r>
          </w:p>
        </w:tc>
        <w:tc>
          <w:tcPr>
            <w:tcW w:w="709" w:type="dxa"/>
            <w:gridSpan w:val="2"/>
            <w:shd w:val="clear" w:color="auto" w:fill="auto"/>
            <w:noWrap/>
            <w:vAlign w:val="center"/>
            <w:hideMark/>
          </w:tcPr>
          <w:p w14:paraId="160AEE6B"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85</w:t>
            </w:r>
          </w:p>
        </w:tc>
        <w:tc>
          <w:tcPr>
            <w:tcW w:w="637" w:type="dxa"/>
            <w:gridSpan w:val="2"/>
            <w:shd w:val="clear" w:color="auto" w:fill="auto"/>
            <w:noWrap/>
            <w:vAlign w:val="center"/>
            <w:hideMark/>
          </w:tcPr>
          <w:p w14:paraId="3C69488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9.1</w:t>
            </w:r>
          </w:p>
        </w:tc>
        <w:tc>
          <w:tcPr>
            <w:tcW w:w="993" w:type="dxa"/>
            <w:gridSpan w:val="2"/>
            <w:shd w:val="clear" w:color="auto" w:fill="auto"/>
            <w:noWrap/>
            <w:vAlign w:val="center"/>
            <w:hideMark/>
          </w:tcPr>
          <w:p w14:paraId="2E102BB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297</w:t>
            </w:r>
          </w:p>
        </w:tc>
        <w:tc>
          <w:tcPr>
            <w:tcW w:w="555" w:type="dxa"/>
            <w:gridSpan w:val="2"/>
            <w:shd w:val="clear" w:color="auto" w:fill="auto"/>
            <w:noWrap/>
            <w:vAlign w:val="center"/>
            <w:hideMark/>
          </w:tcPr>
          <w:p w14:paraId="3D6A396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290</w:t>
            </w:r>
          </w:p>
        </w:tc>
        <w:tc>
          <w:tcPr>
            <w:tcW w:w="499" w:type="dxa"/>
            <w:gridSpan w:val="2"/>
            <w:shd w:val="clear" w:color="auto" w:fill="auto"/>
            <w:noWrap/>
            <w:vAlign w:val="center"/>
            <w:hideMark/>
          </w:tcPr>
          <w:p w14:paraId="2F287B5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68</w:t>
            </w:r>
          </w:p>
        </w:tc>
        <w:tc>
          <w:tcPr>
            <w:tcW w:w="561" w:type="dxa"/>
            <w:gridSpan w:val="2"/>
            <w:shd w:val="clear" w:color="auto" w:fill="auto"/>
            <w:noWrap/>
            <w:vAlign w:val="center"/>
          </w:tcPr>
          <w:p w14:paraId="3F113D95"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0.5</w:t>
            </w:r>
          </w:p>
        </w:tc>
        <w:tc>
          <w:tcPr>
            <w:tcW w:w="706" w:type="dxa"/>
            <w:gridSpan w:val="2"/>
            <w:shd w:val="clear" w:color="auto" w:fill="auto"/>
            <w:noWrap/>
            <w:vAlign w:val="center"/>
          </w:tcPr>
          <w:p w14:paraId="137449B5" w14:textId="228D3ECE"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71.45</w:t>
            </w:r>
          </w:p>
        </w:tc>
        <w:tc>
          <w:tcPr>
            <w:tcW w:w="728" w:type="dxa"/>
            <w:gridSpan w:val="2"/>
            <w:shd w:val="clear" w:color="auto" w:fill="auto"/>
            <w:noWrap/>
            <w:vAlign w:val="center"/>
          </w:tcPr>
          <w:p w14:paraId="6F3C70A7" w14:textId="1E4CA3D2"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r w:rsidR="009D39F7" w:rsidRPr="00B878AA">
              <w:rPr>
                <w:rFonts w:eastAsia="Times New Roman"/>
                <w:sz w:val="16"/>
                <w:szCs w:val="16"/>
                <w:lang w:eastAsia="fr-CA"/>
              </w:rPr>
              <w:t>10.31</w:t>
            </w:r>
          </w:p>
        </w:tc>
        <w:tc>
          <w:tcPr>
            <w:tcW w:w="603" w:type="dxa"/>
            <w:gridSpan w:val="2"/>
            <w:shd w:val="clear" w:color="auto" w:fill="auto"/>
            <w:noWrap/>
            <w:vAlign w:val="center"/>
          </w:tcPr>
          <w:p w14:paraId="7CBAB6F1" w14:textId="061BC469" w:rsidR="009D39F7" w:rsidRPr="00B878AA" w:rsidRDefault="00F039AD"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 xml:space="preserve"> </w:t>
            </w:r>
          </w:p>
        </w:tc>
      </w:tr>
      <w:tr w:rsidR="00B878AA" w:rsidRPr="003E068C" w14:paraId="3C9A304E" w14:textId="77777777" w:rsidTr="00C41ABE">
        <w:trPr>
          <w:jc w:val="center"/>
        </w:trPr>
        <w:tc>
          <w:tcPr>
            <w:tcW w:w="3479" w:type="dxa"/>
            <w:gridSpan w:val="4"/>
            <w:shd w:val="clear" w:color="auto" w:fill="auto"/>
            <w:noWrap/>
            <w:vAlign w:val="center"/>
            <w:hideMark/>
          </w:tcPr>
          <w:p w14:paraId="57182EEE"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p>
        </w:tc>
        <w:tc>
          <w:tcPr>
            <w:tcW w:w="2857" w:type="dxa"/>
            <w:gridSpan w:val="4"/>
            <w:shd w:val="clear" w:color="auto" w:fill="auto"/>
            <w:noWrap/>
            <w:vAlign w:val="center"/>
            <w:hideMark/>
          </w:tcPr>
          <w:p w14:paraId="55CD3607" w14:textId="77777777" w:rsidR="009D39F7" w:rsidRPr="00A45811" w:rsidRDefault="009D39F7" w:rsidP="003E068C">
            <w:pPr>
              <w:autoSpaceDE w:val="0"/>
              <w:autoSpaceDN w:val="0"/>
              <w:adjustRightInd w:val="0"/>
              <w:snapToGrid w:val="0"/>
              <w:spacing w:line="240" w:lineRule="auto"/>
              <w:jc w:val="center"/>
              <w:rPr>
                <w:rFonts w:eastAsia="Times New Roman"/>
                <w:sz w:val="16"/>
                <w:szCs w:val="16"/>
                <w:lang w:val="en-CA" w:eastAsia="fr-CA"/>
              </w:rPr>
            </w:pPr>
            <w:r w:rsidRPr="00A45811">
              <w:rPr>
                <w:rFonts w:eastAsia="Times New Roman"/>
                <w:sz w:val="16"/>
                <w:szCs w:val="16"/>
                <w:lang w:val="en-CA" w:eastAsia="fr-CA"/>
              </w:rPr>
              <w:t>Detection threshold / analytical error (</w:t>
            </w:r>
            <w:r w:rsidRPr="00A45811">
              <w:rPr>
                <w:rFonts w:eastAsia="Times New Roman"/>
                <w:sz w:val="16"/>
                <w:szCs w:val="16"/>
                <w:lang w:eastAsia="fr-CA"/>
              </w:rPr>
              <w:t>±)</w:t>
            </w:r>
            <w:r w:rsidRPr="00A45811">
              <w:rPr>
                <w:rFonts w:eastAsia="Times New Roman"/>
                <w:sz w:val="16"/>
                <w:szCs w:val="16"/>
                <w:lang w:val="en-CA" w:eastAsia="fr-CA"/>
              </w:rPr>
              <w:t xml:space="preserve"> </w:t>
            </w:r>
          </w:p>
        </w:tc>
        <w:tc>
          <w:tcPr>
            <w:tcW w:w="845" w:type="dxa"/>
            <w:gridSpan w:val="2"/>
            <w:shd w:val="clear" w:color="auto" w:fill="auto"/>
            <w:noWrap/>
            <w:vAlign w:val="center"/>
            <w:hideMark/>
          </w:tcPr>
          <w:p w14:paraId="3C9E950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0.3</w:t>
            </w:r>
          </w:p>
        </w:tc>
        <w:tc>
          <w:tcPr>
            <w:tcW w:w="851" w:type="dxa"/>
            <w:gridSpan w:val="2"/>
            <w:shd w:val="clear" w:color="auto" w:fill="auto"/>
            <w:noWrap/>
            <w:vAlign w:val="center"/>
            <w:hideMark/>
          </w:tcPr>
          <w:p w14:paraId="2AC79891"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0.1</w:t>
            </w:r>
          </w:p>
        </w:tc>
        <w:tc>
          <w:tcPr>
            <w:tcW w:w="709" w:type="dxa"/>
            <w:gridSpan w:val="2"/>
            <w:shd w:val="clear" w:color="auto" w:fill="auto"/>
            <w:noWrap/>
            <w:vAlign w:val="center"/>
            <w:hideMark/>
          </w:tcPr>
          <w:p w14:paraId="4634AB8C"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0.1</w:t>
            </w:r>
          </w:p>
        </w:tc>
        <w:tc>
          <w:tcPr>
            <w:tcW w:w="637" w:type="dxa"/>
            <w:gridSpan w:val="2"/>
            <w:shd w:val="clear" w:color="auto" w:fill="auto"/>
            <w:noWrap/>
            <w:vAlign w:val="center"/>
            <w:hideMark/>
          </w:tcPr>
          <w:p w14:paraId="6DA5EE87"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0.1</w:t>
            </w:r>
          </w:p>
        </w:tc>
        <w:tc>
          <w:tcPr>
            <w:tcW w:w="993" w:type="dxa"/>
            <w:gridSpan w:val="2"/>
            <w:shd w:val="clear" w:color="auto" w:fill="auto"/>
            <w:noWrap/>
            <w:vAlign w:val="center"/>
            <w:hideMark/>
          </w:tcPr>
          <w:p w14:paraId="11BC94A0"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w:t>
            </w:r>
          </w:p>
        </w:tc>
        <w:tc>
          <w:tcPr>
            <w:tcW w:w="555" w:type="dxa"/>
            <w:gridSpan w:val="2"/>
            <w:shd w:val="clear" w:color="auto" w:fill="auto"/>
            <w:noWrap/>
            <w:vAlign w:val="center"/>
            <w:hideMark/>
          </w:tcPr>
          <w:p w14:paraId="0A9E810A"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0.05</w:t>
            </w:r>
          </w:p>
        </w:tc>
        <w:tc>
          <w:tcPr>
            <w:tcW w:w="499" w:type="dxa"/>
            <w:gridSpan w:val="2"/>
            <w:shd w:val="clear" w:color="auto" w:fill="auto"/>
            <w:noWrap/>
            <w:vAlign w:val="center"/>
            <w:hideMark/>
          </w:tcPr>
          <w:p w14:paraId="7DC917F9"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5.0</w:t>
            </w:r>
          </w:p>
        </w:tc>
        <w:tc>
          <w:tcPr>
            <w:tcW w:w="561" w:type="dxa"/>
            <w:gridSpan w:val="2"/>
            <w:shd w:val="clear" w:color="auto" w:fill="auto"/>
            <w:noWrap/>
            <w:vAlign w:val="center"/>
          </w:tcPr>
          <w:p w14:paraId="26A9A644" w14:textId="0403CBEA" w:rsidR="009D39F7" w:rsidRPr="00B878AA" w:rsidRDefault="002529A5"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w:t>
            </w:r>
          </w:p>
        </w:tc>
        <w:tc>
          <w:tcPr>
            <w:tcW w:w="706" w:type="dxa"/>
            <w:gridSpan w:val="2"/>
            <w:shd w:val="clear" w:color="auto" w:fill="auto"/>
            <w:noWrap/>
            <w:vAlign w:val="center"/>
          </w:tcPr>
          <w:p w14:paraId="555C4D74"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±1.5</w:t>
            </w:r>
          </w:p>
        </w:tc>
        <w:tc>
          <w:tcPr>
            <w:tcW w:w="728" w:type="dxa"/>
            <w:gridSpan w:val="2"/>
            <w:shd w:val="clear" w:color="auto" w:fill="auto"/>
            <w:noWrap/>
            <w:vAlign w:val="center"/>
          </w:tcPr>
          <w:p w14:paraId="5114314F"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 0.05</w:t>
            </w:r>
          </w:p>
        </w:tc>
        <w:tc>
          <w:tcPr>
            <w:tcW w:w="603" w:type="dxa"/>
            <w:gridSpan w:val="2"/>
            <w:shd w:val="clear" w:color="auto" w:fill="auto"/>
            <w:noWrap/>
            <w:vAlign w:val="center"/>
          </w:tcPr>
          <w:p w14:paraId="0EB47932" w14:textId="77777777" w:rsidR="009D39F7" w:rsidRPr="00B878AA" w:rsidRDefault="009D39F7" w:rsidP="003E068C">
            <w:pPr>
              <w:autoSpaceDE w:val="0"/>
              <w:autoSpaceDN w:val="0"/>
              <w:adjustRightInd w:val="0"/>
              <w:snapToGrid w:val="0"/>
              <w:spacing w:line="240" w:lineRule="auto"/>
              <w:jc w:val="center"/>
              <w:rPr>
                <w:rFonts w:eastAsia="Times New Roman"/>
                <w:sz w:val="16"/>
                <w:szCs w:val="16"/>
                <w:lang w:eastAsia="fr-CA"/>
              </w:rPr>
            </w:pPr>
            <w:r w:rsidRPr="00B878AA">
              <w:rPr>
                <w:rFonts w:eastAsia="Times New Roman"/>
                <w:sz w:val="16"/>
                <w:szCs w:val="16"/>
                <w:lang w:eastAsia="fr-CA"/>
              </w:rPr>
              <w:t>± 0.1</w:t>
            </w:r>
          </w:p>
        </w:tc>
      </w:tr>
      <w:tr w:rsidR="00DD1F2F" w:rsidRPr="003E068C" w14:paraId="533B5389" w14:textId="77777777" w:rsidTr="00C41ABE">
        <w:trPr>
          <w:gridAfter w:val="1"/>
          <w:wAfter w:w="9" w:type="dxa"/>
          <w:jc w:val="center"/>
        </w:trPr>
        <w:tc>
          <w:tcPr>
            <w:tcW w:w="14014" w:type="dxa"/>
            <w:gridSpan w:val="29"/>
            <w:shd w:val="clear" w:color="auto" w:fill="auto"/>
            <w:noWrap/>
            <w:vAlign w:val="center"/>
          </w:tcPr>
          <w:p w14:paraId="023C0292" w14:textId="1F141535" w:rsidR="009D39F7" w:rsidRPr="00A45811" w:rsidRDefault="009D39F7" w:rsidP="003E068C">
            <w:pPr>
              <w:autoSpaceDE w:val="0"/>
              <w:autoSpaceDN w:val="0"/>
              <w:adjustRightInd w:val="0"/>
              <w:snapToGrid w:val="0"/>
              <w:spacing w:line="240" w:lineRule="auto"/>
              <w:jc w:val="center"/>
              <w:rPr>
                <w:rFonts w:eastAsia="Times New Roman"/>
                <w:sz w:val="16"/>
                <w:szCs w:val="16"/>
                <w:lang w:val="en-CA" w:eastAsia="fr-CA"/>
              </w:rPr>
            </w:pPr>
            <w:r w:rsidRPr="00A45811">
              <w:rPr>
                <w:rFonts w:eastAsia="Times New Roman"/>
                <w:sz w:val="16"/>
                <w:szCs w:val="16"/>
                <w:lang w:val="en-CA" w:eastAsia="fr-CA"/>
              </w:rPr>
              <w:t xml:space="preserve">* </w:t>
            </w:r>
            <w:r w:rsidRPr="00A45811">
              <w:rPr>
                <w:rFonts w:eastAsia="Times New Roman"/>
                <w:b/>
                <w:bCs/>
                <w:sz w:val="16"/>
                <w:szCs w:val="16"/>
                <w:lang w:val="en-CA" w:eastAsia="fr-CA"/>
              </w:rPr>
              <w:t>Bold</w:t>
            </w:r>
            <w:r w:rsidR="00F039AD" w:rsidRPr="00A45811">
              <w:rPr>
                <w:rFonts w:eastAsia="Times New Roman"/>
                <w:sz w:val="16"/>
                <w:szCs w:val="16"/>
                <w:lang w:val="en-CA" w:eastAsia="fr-CA"/>
              </w:rPr>
              <w:t xml:space="preserve"> </w:t>
            </w:r>
            <w:r w:rsidRPr="00A45811">
              <w:rPr>
                <w:rFonts w:eastAsia="Times New Roman"/>
                <w:sz w:val="16"/>
                <w:szCs w:val="16"/>
                <w:lang w:val="en-CA" w:eastAsia="fr-CA"/>
              </w:rPr>
              <w:t xml:space="preserve">: depth of a sampler placed within a zone of water mixing ; </w:t>
            </w:r>
            <w:r w:rsidRPr="00A45811">
              <w:rPr>
                <w:rFonts w:eastAsia="Times New Roman"/>
                <w:sz w:val="16"/>
                <w:szCs w:val="16"/>
                <w:u w:val="single"/>
                <w:lang w:val="en-CA" w:eastAsia="fr-CA"/>
              </w:rPr>
              <w:t>Underlined</w:t>
            </w:r>
            <w:r w:rsidR="00F039AD" w:rsidRPr="00A45811">
              <w:rPr>
                <w:rFonts w:eastAsia="Times New Roman"/>
                <w:sz w:val="16"/>
                <w:szCs w:val="16"/>
                <w:lang w:val="en-CA" w:eastAsia="fr-CA"/>
              </w:rPr>
              <w:t xml:space="preserve"> </w:t>
            </w:r>
            <w:r w:rsidRPr="00A45811">
              <w:rPr>
                <w:rFonts w:eastAsia="Times New Roman"/>
                <w:sz w:val="16"/>
                <w:szCs w:val="16"/>
                <w:lang w:val="en-CA" w:eastAsia="fr-CA"/>
              </w:rPr>
              <w:t>: depth</w:t>
            </w:r>
            <w:r w:rsidRPr="00A45811">
              <w:rPr>
                <w:rFonts w:eastAsia="Times New Roman"/>
                <w:b/>
                <w:sz w:val="16"/>
                <w:szCs w:val="16"/>
                <w:lang w:val="en-CA" w:eastAsia="fr-CA"/>
              </w:rPr>
              <w:t xml:space="preserve"> </w:t>
            </w:r>
            <w:r w:rsidRPr="00A45811">
              <w:rPr>
                <w:rFonts w:eastAsia="Times New Roman"/>
                <w:sz w:val="16"/>
                <w:szCs w:val="16"/>
                <w:lang w:val="en-CA" w:eastAsia="fr-CA"/>
              </w:rPr>
              <w:t xml:space="preserve">of the inflowing fracture (deconvoluted concentration); </w:t>
            </w:r>
            <w:r w:rsidRPr="00A45811">
              <w:rPr>
                <w:rFonts w:eastAsia="Times New Roman"/>
                <w:b/>
                <w:bCs/>
                <w:color w:val="7F7F7F"/>
                <w:sz w:val="16"/>
                <w:szCs w:val="16"/>
                <w:lang w:val="en-CA" w:eastAsia="fr-CA"/>
              </w:rPr>
              <w:t>Grey</w:t>
            </w:r>
            <w:r w:rsidR="00F039AD" w:rsidRPr="00A45811">
              <w:rPr>
                <w:rFonts w:eastAsia="Times New Roman"/>
                <w:color w:val="7F7F7F"/>
                <w:sz w:val="16"/>
                <w:szCs w:val="16"/>
                <w:lang w:val="en-CA" w:eastAsia="fr-CA"/>
              </w:rPr>
              <w:t xml:space="preserve"> </w:t>
            </w:r>
            <w:r w:rsidRPr="00A45811">
              <w:rPr>
                <w:rFonts w:eastAsia="Times New Roman"/>
                <w:color w:val="7F7F7F"/>
                <w:sz w:val="16"/>
                <w:szCs w:val="16"/>
                <w:lang w:val="en-CA" w:eastAsia="fr-CA"/>
              </w:rPr>
              <w:t>:</w:t>
            </w:r>
            <w:r w:rsidRPr="00A45811">
              <w:rPr>
                <w:rFonts w:eastAsia="Times New Roman"/>
                <w:sz w:val="16"/>
                <w:szCs w:val="16"/>
                <w:lang w:val="en-CA" w:eastAsia="fr-CA"/>
              </w:rPr>
              <w:t xml:space="preserve"> depth of the sampler in stagnant water column; Normal: depth of the inflowing fracture out of a zone of water mixing</w:t>
            </w:r>
          </w:p>
        </w:tc>
      </w:tr>
      <w:tr w:rsidR="00DD1F2F" w:rsidRPr="003E068C" w14:paraId="7D467430" w14:textId="77777777" w:rsidTr="00C41ABE">
        <w:trPr>
          <w:gridAfter w:val="1"/>
          <w:wAfter w:w="9" w:type="dxa"/>
          <w:jc w:val="center"/>
        </w:trPr>
        <w:tc>
          <w:tcPr>
            <w:tcW w:w="14014" w:type="dxa"/>
            <w:gridSpan w:val="29"/>
            <w:shd w:val="clear" w:color="auto" w:fill="auto"/>
            <w:noWrap/>
            <w:vAlign w:val="center"/>
          </w:tcPr>
          <w:p w14:paraId="260086F7" w14:textId="7A90878B" w:rsidR="009D39F7" w:rsidRPr="00B878AA" w:rsidRDefault="009D39F7" w:rsidP="003E068C">
            <w:pPr>
              <w:autoSpaceDE w:val="0"/>
              <w:autoSpaceDN w:val="0"/>
              <w:adjustRightInd w:val="0"/>
              <w:snapToGrid w:val="0"/>
              <w:spacing w:line="240" w:lineRule="auto"/>
              <w:jc w:val="center"/>
              <w:rPr>
                <w:rFonts w:eastAsia="Times New Roman"/>
                <w:sz w:val="16"/>
                <w:szCs w:val="16"/>
                <w:lang w:val="en-CA" w:eastAsia="fr-CA"/>
              </w:rPr>
            </w:pPr>
            <w:r w:rsidRPr="00B878AA">
              <w:rPr>
                <w:rFonts w:eastAsia="Times New Roman"/>
                <w:sz w:val="16"/>
                <w:szCs w:val="16"/>
                <w:lang w:val="en-CA" w:eastAsia="fr-CA"/>
              </w:rPr>
              <w:t>Nitrates were analyzed for all the samples but were not detected (detection threshold of 0.02</w:t>
            </w:r>
            <w:r w:rsidR="00F039AD" w:rsidRPr="00B878AA">
              <w:rPr>
                <w:rFonts w:eastAsia="Times New Roman"/>
                <w:sz w:val="16"/>
                <w:szCs w:val="16"/>
                <w:lang w:val="en-CA" w:eastAsia="fr-CA"/>
              </w:rPr>
              <w:t xml:space="preserve"> </w:t>
            </w:r>
            <w:r w:rsidRPr="00B878AA">
              <w:rPr>
                <w:rFonts w:eastAsia="Times New Roman"/>
                <w:sz w:val="16"/>
                <w:szCs w:val="16"/>
                <w:lang w:val="en-CA" w:eastAsia="fr-CA"/>
              </w:rPr>
              <w:t>mg/L N</w:t>
            </w:r>
            <w:r w:rsidR="002529A5" w:rsidRPr="00B878AA">
              <w:rPr>
                <w:rFonts w:eastAsia="Times New Roman"/>
                <w:sz w:val="16"/>
                <w:szCs w:val="16"/>
                <w:lang w:val="en-CA" w:eastAsia="fr-CA"/>
              </w:rPr>
              <w:t>–</w:t>
            </w:r>
            <w:r w:rsidRPr="00B878AA">
              <w:rPr>
                <w:rFonts w:eastAsia="Times New Roman"/>
                <w:sz w:val="16"/>
                <w:szCs w:val="16"/>
                <w:lang w:val="en-CA" w:eastAsia="fr-CA"/>
              </w:rPr>
              <w:t>NO</w:t>
            </w:r>
            <w:r w:rsidRPr="00B878AA">
              <w:rPr>
                <w:rFonts w:eastAsia="Times New Roman"/>
                <w:sz w:val="16"/>
                <w:szCs w:val="16"/>
                <w:vertAlign w:val="subscript"/>
                <w:lang w:val="en-CA" w:eastAsia="fr-CA"/>
              </w:rPr>
              <w:t>3</w:t>
            </w:r>
            <w:r w:rsidRPr="00B878AA">
              <w:rPr>
                <w:rFonts w:eastAsia="Times New Roman"/>
                <w:sz w:val="16"/>
                <w:szCs w:val="16"/>
                <w:lang w:val="en-CA" w:eastAsia="fr-CA"/>
              </w:rPr>
              <w:t>)</w:t>
            </w:r>
          </w:p>
        </w:tc>
      </w:tr>
      <w:bookmarkEnd w:id="13"/>
    </w:tbl>
    <w:p w14:paraId="267D7430" w14:textId="77777777" w:rsidR="009D39F7" w:rsidRDefault="009D39F7" w:rsidP="009D39F7">
      <w:pPr>
        <w:pStyle w:val="MDPI51figurecaption"/>
        <w:rPr>
          <w:bCs/>
        </w:rPr>
        <w:sectPr w:rsidR="009D39F7" w:rsidSect="00B05642">
          <w:pgSz w:w="16838" w:h="11906" w:orient="landscape" w:code="9"/>
          <w:pgMar w:top="720" w:right="1417" w:bottom="720" w:left="1077" w:header="1020" w:footer="340" w:gutter="0"/>
          <w:lnNumType w:countBy="1" w:distance="255" w:restart="continuous"/>
          <w:pgNumType w:start="1"/>
          <w:cols w:space="425"/>
          <w:titlePg/>
          <w:bidi/>
          <w:docGrid w:type="lines" w:linePitch="326"/>
        </w:sectPr>
      </w:pPr>
    </w:p>
    <w:p w14:paraId="0BC63CA2" w14:textId="7D4B35B0" w:rsidR="00A62080" w:rsidRDefault="00A62080" w:rsidP="00A62080">
      <w:pPr>
        <w:pStyle w:val="MDPI31text"/>
      </w:pPr>
      <w:r w:rsidRPr="00A62080">
        <w:lastRenderedPageBreak/>
        <w:t>The ionic composition the sample is illustrated with a Stabler Diagram (</w:t>
      </w:r>
      <w:r w:rsidRPr="00A45811">
        <w:t>Figure 11)</w:t>
      </w:r>
      <w:r w:rsidRPr="00A62080">
        <w:t xml:space="preserve"> which allow comparing relative proportion of anions and cations altogether. All samples analyzed have an electroneutrality error below 10%. At first sight (Figure 11), total alkalinity is the main source of salinity for 41% of the samples (St.</w:t>
      </w:r>
      <w:r w:rsidR="00F039AD" w:rsidRPr="00F039AD">
        <w:t xml:space="preserve"> </w:t>
      </w:r>
      <w:r w:rsidRPr="00A62080">
        <w:t xml:space="preserve">Lazare, </w:t>
      </w:r>
      <w:proofErr w:type="spellStart"/>
      <w:r w:rsidRPr="00A62080">
        <w:t>Hemmingford</w:t>
      </w:r>
      <w:proofErr w:type="spellEnd"/>
      <w:r w:rsidRPr="00A62080">
        <w:t xml:space="preserve">, Chateauguay, </w:t>
      </w:r>
      <w:proofErr w:type="gramStart"/>
      <w:r w:rsidRPr="00A62080">
        <w:t>Mirabel</w:t>
      </w:r>
      <w:proofErr w:type="gramEnd"/>
      <w:r w:rsidRPr="00A62080">
        <w:t xml:space="preserve"> and the shallowest sample of Abbotsford</w:t>
      </w:r>
      <w:r w:rsidR="00F039AD" w:rsidRPr="00F039AD">
        <w:t xml:space="preserve"> </w:t>
      </w:r>
      <w:r w:rsidRPr="00A62080">
        <w:t xml:space="preserve">PO7) and relates to the </w:t>
      </w:r>
      <w:proofErr w:type="spellStart"/>
      <w:r w:rsidRPr="00A62080">
        <w:t>calco</w:t>
      </w:r>
      <w:proofErr w:type="spellEnd"/>
      <w:r w:rsidR="002529A5">
        <w:t>–</w:t>
      </w:r>
      <w:r w:rsidRPr="00A62080">
        <w:t>carbonic system. Then, salinity is primarily associated with SO</w:t>
      </w:r>
      <w:r w:rsidRPr="00A62080">
        <w:rPr>
          <w:vertAlign w:val="subscript"/>
        </w:rPr>
        <w:t>4</w:t>
      </w:r>
      <w:r w:rsidRPr="00A62080">
        <w:rPr>
          <w:vertAlign w:val="superscript"/>
        </w:rPr>
        <w:t>2</w:t>
      </w:r>
      <w:r w:rsidR="002529A5">
        <w:rPr>
          <w:vertAlign w:val="superscript"/>
        </w:rPr>
        <w:t>–</w:t>
      </w:r>
      <w:r w:rsidRPr="00A62080">
        <w:t xml:space="preserve"> rich waters for 34% of the samples (</w:t>
      </w:r>
      <w:proofErr w:type="spellStart"/>
      <w:r w:rsidRPr="00A62080">
        <w:t>Ormstown</w:t>
      </w:r>
      <w:proofErr w:type="spellEnd"/>
      <w:r w:rsidRPr="00A62080">
        <w:t xml:space="preserve"> and Napierville</w:t>
      </w:r>
      <w:r w:rsidR="00F039AD" w:rsidRPr="00F039AD">
        <w:t xml:space="preserve"> </w:t>
      </w:r>
      <w:r w:rsidRPr="00A62080">
        <w:t xml:space="preserve">PO2 and P6). Finally, 24% of the sample’s mineralization is </w:t>
      </w:r>
      <w:r w:rsidR="00CE1C60">
        <w:t xml:space="preserve">associated with </w:t>
      </w:r>
      <w:r w:rsidRPr="00A62080">
        <w:t>chloride’s salt inputs (St.</w:t>
      </w:r>
      <w:r w:rsidR="00F039AD" w:rsidRPr="00F039AD">
        <w:t xml:space="preserve"> </w:t>
      </w:r>
      <w:proofErr w:type="spellStart"/>
      <w:r w:rsidRPr="00A62080">
        <w:t>Roch</w:t>
      </w:r>
      <w:proofErr w:type="spellEnd"/>
      <w:r w:rsidRPr="00A62080">
        <w:t>, Abbotsford</w:t>
      </w:r>
      <w:r w:rsidR="00F039AD" w:rsidRPr="00F039AD">
        <w:t xml:space="preserve"> </w:t>
      </w:r>
      <w:r w:rsidRPr="00A62080">
        <w:t>P05 and deepest samples of Abbotsford</w:t>
      </w:r>
      <w:r w:rsidR="00F039AD" w:rsidRPr="00F039AD">
        <w:t xml:space="preserve"> </w:t>
      </w:r>
      <w:r w:rsidRPr="00A62080">
        <w:t xml:space="preserve">PO7). By comparing anionic and cationic distribution (Figure 11), it appears that cationic composition cannot be always and simply explained by the three main hydrogeochemical processes usually described for the St. Lawrence Lowlands (i.e., carbonates dissolution, saline input from the </w:t>
      </w:r>
      <w:proofErr w:type="gramStart"/>
      <w:r w:rsidRPr="00A62080">
        <w:t>Champlain sea</w:t>
      </w:r>
      <w:proofErr w:type="gramEnd"/>
      <w:r w:rsidRPr="00A62080">
        <w:t xml:space="preserve"> invasion and inputs from gypsum). For example, SO</w:t>
      </w:r>
      <w:r w:rsidRPr="00A62080">
        <w:rPr>
          <w:vertAlign w:val="subscript"/>
        </w:rPr>
        <w:t>4</w:t>
      </w:r>
      <w:r w:rsidRPr="00A62080">
        <w:rPr>
          <w:vertAlign w:val="superscript"/>
        </w:rPr>
        <w:t>2</w:t>
      </w:r>
      <w:r w:rsidR="002529A5">
        <w:rPr>
          <w:vertAlign w:val="superscript"/>
        </w:rPr>
        <w:t>–</w:t>
      </w:r>
      <w:r w:rsidRPr="00A62080">
        <w:t xml:space="preserve"> concentrations for Napierville</w:t>
      </w:r>
      <w:r w:rsidR="00F039AD" w:rsidRPr="00F039AD">
        <w:t xml:space="preserve"> </w:t>
      </w:r>
      <w:r w:rsidRPr="00A62080">
        <w:t>P6 do not balance with Ca</w:t>
      </w:r>
      <w:r w:rsidRPr="00A62080">
        <w:rPr>
          <w:vertAlign w:val="superscript"/>
        </w:rPr>
        <w:t>2+</w:t>
      </w:r>
      <w:r w:rsidRPr="00A62080">
        <w:t xml:space="preserve"> and largely exceed it, suggesting other sources of salinity than just </w:t>
      </w:r>
      <w:r w:rsidR="00D7748C">
        <w:t xml:space="preserve">inputs from </w:t>
      </w:r>
      <w:r w:rsidRPr="00A62080">
        <w:t>Ca</w:t>
      </w:r>
      <w:r w:rsidR="002529A5">
        <w:t>–</w:t>
      </w:r>
      <w:r w:rsidRPr="00A62080">
        <w:t>SO</w:t>
      </w:r>
      <w:r w:rsidRPr="00D7748C">
        <w:rPr>
          <w:vertAlign w:val="subscript"/>
        </w:rPr>
        <w:t>4</w:t>
      </w:r>
      <w:r w:rsidRPr="00A62080">
        <w:t>. For Abbotsford</w:t>
      </w:r>
      <w:r w:rsidR="00F039AD" w:rsidRPr="00F039AD">
        <w:t xml:space="preserve"> </w:t>
      </w:r>
      <w:r w:rsidRPr="00A62080">
        <w:t>PO5 indeed, Cl</w:t>
      </w:r>
      <w:r w:rsidR="002529A5">
        <w:rPr>
          <w:vertAlign w:val="superscript"/>
        </w:rPr>
        <w:t>–</w:t>
      </w:r>
      <w:r w:rsidRPr="00A62080">
        <w:t xml:space="preserve"> concentrations do not balance with Na</w:t>
      </w:r>
      <w:r w:rsidRPr="00A62080">
        <w:rPr>
          <w:vertAlign w:val="superscript"/>
        </w:rPr>
        <w:t>+</w:t>
      </w:r>
      <w:r w:rsidRPr="00A62080">
        <w:t>, also suggesting several inputs of chloride’s salts than just from Na</w:t>
      </w:r>
      <w:r w:rsidR="002529A5">
        <w:t>–</w:t>
      </w:r>
      <w:r w:rsidRPr="00A62080">
        <w:t>Cl. Detail about the origin of these salinities is discussed in Section 5.</w:t>
      </w:r>
    </w:p>
    <w:p w14:paraId="50CEC40E" w14:textId="1DFD7E72" w:rsidR="00A62080" w:rsidRPr="006D5C14" w:rsidRDefault="00CE4C54" w:rsidP="008F1B86">
      <w:pPr>
        <w:pStyle w:val="MDPI52figure"/>
        <w:ind w:left="426"/>
        <w:jc w:val="left"/>
        <w:rPr>
          <w:b/>
        </w:rPr>
      </w:pPr>
      <w:r>
        <w:rPr>
          <w:b/>
          <w:noProof/>
        </w:rPr>
        <w:drawing>
          <wp:inline distT="0" distB="0" distL="0" distR="0" wp14:anchorId="5B8D6CF0" wp14:editId="196B367D">
            <wp:extent cx="6697433" cy="3336290"/>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12638" cy="3343864"/>
                    </a:xfrm>
                    <a:prstGeom prst="rect">
                      <a:avLst/>
                    </a:prstGeom>
                    <a:noFill/>
                  </pic:spPr>
                </pic:pic>
              </a:graphicData>
            </a:graphic>
          </wp:inline>
        </w:drawing>
      </w:r>
    </w:p>
    <w:p w14:paraId="4C1C317C" w14:textId="7C6F0364" w:rsidR="006D5C14" w:rsidRPr="006D5C14" w:rsidRDefault="006D5C14" w:rsidP="006D5C14">
      <w:pPr>
        <w:pStyle w:val="MDPI51figurecaption"/>
        <w:rPr>
          <w:bCs/>
        </w:rPr>
      </w:pPr>
      <w:r w:rsidRPr="006D5C14">
        <w:rPr>
          <w:b/>
        </w:rPr>
        <w:t>Figure 11</w:t>
      </w:r>
      <w:r w:rsidR="00A45811">
        <w:rPr>
          <w:b/>
        </w:rPr>
        <w:t>.</w:t>
      </w:r>
      <w:r w:rsidRPr="006D5C14">
        <w:rPr>
          <w:b/>
        </w:rPr>
        <w:t xml:space="preserve"> </w:t>
      </w:r>
      <w:r w:rsidRPr="006D5C14">
        <w:rPr>
          <w:bCs/>
        </w:rPr>
        <w:t xml:space="preserve">Stabler diagram detailing the major ion composition per wellbore and at </w:t>
      </w:r>
      <w:r w:rsidR="005B004A" w:rsidRPr="006D5C14">
        <w:rPr>
          <w:bCs/>
        </w:rPr>
        <w:t>depths.</w:t>
      </w:r>
    </w:p>
    <w:p w14:paraId="53F3BAF4" w14:textId="1265B500" w:rsidR="00A62080" w:rsidRDefault="006D5C14" w:rsidP="006D5C14">
      <w:pPr>
        <w:pStyle w:val="MDPI31text"/>
      </w:pPr>
      <w:r>
        <w:t>To prepare the discussion about the origin of the ionic composition observed (Section 5), potential inputs of Ca</w:t>
      </w:r>
      <w:r w:rsidRPr="00944428">
        <w:rPr>
          <w:vertAlign w:val="superscript"/>
        </w:rPr>
        <w:t>2+</w:t>
      </w:r>
      <w:r>
        <w:t xml:space="preserve"> and Mg</w:t>
      </w:r>
      <w:r w:rsidRPr="00944428">
        <w:rPr>
          <w:vertAlign w:val="superscript"/>
        </w:rPr>
        <w:t>2+</w:t>
      </w:r>
      <w:r>
        <w:t xml:space="preserve"> from chloride salts are evaluated by subtracting other sources (from sulphate minerals and from carbonate dissolution) as given at Equation 3. Na</w:t>
      </w:r>
      <w:r w:rsidRPr="00944428">
        <w:rPr>
          <w:vertAlign w:val="superscript"/>
        </w:rPr>
        <w:t>+</w:t>
      </w:r>
      <w:r>
        <w:t xml:space="preserve"> inputs from chloride salts are evaluated by subtracting calculated inputs of Ca</w:t>
      </w:r>
      <w:r w:rsidRPr="00944428">
        <w:rPr>
          <w:vertAlign w:val="superscript"/>
        </w:rPr>
        <w:t>2+</w:t>
      </w:r>
      <w:r>
        <w:t xml:space="preserve"> and Mg</w:t>
      </w:r>
      <w:r w:rsidRPr="00944428">
        <w:rPr>
          <w:vertAlign w:val="superscript"/>
        </w:rPr>
        <w:t>2+</w:t>
      </w:r>
      <w:r w:rsidRPr="00944428">
        <w:t>,</w:t>
      </w:r>
      <w:r>
        <w:t xml:space="preserve"> to the total amount of Cl</w:t>
      </w:r>
      <w:r w:rsidR="002529A5">
        <w:rPr>
          <w:vertAlign w:val="superscript"/>
        </w:rPr>
        <w:t>–</w:t>
      </w:r>
      <w:r>
        <w:t xml:space="preserve"> (Equation 4</w:t>
      </w:r>
      <w:r w:rsidR="00970878">
        <w:t>.</w:t>
      </w:r>
      <w:r>
        <w:t xml:space="preserve">). This mass balance is neglecting K+ as it is of minor contribution in samples presented for this study (Figure 11, Table </w:t>
      </w:r>
      <w:r w:rsidR="00F77D0E">
        <w:t>1</w:t>
      </w:r>
      <w: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944428" w:rsidRPr="005B004A" w14:paraId="57418C3D" w14:textId="77777777" w:rsidTr="00F55798">
        <w:tc>
          <w:tcPr>
            <w:tcW w:w="7428" w:type="dxa"/>
          </w:tcPr>
          <w:p w14:paraId="576E3078" w14:textId="2E3B1727" w:rsidR="00944428" w:rsidRPr="005B004A" w:rsidRDefault="00944428" w:rsidP="00F55798">
            <w:pPr>
              <w:pStyle w:val="MDPI39equation"/>
            </w:pPr>
            <w:r w:rsidRPr="005B004A">
              <w:t>(Ca + Mg)</w:t>
            </w:r>
            <w:r w:rsidR="00AA4B12">
              <w:t xml:space="preserve"> </w:t>
            </w:r>
            <w:r w:rsidRPr="005B004A">
              <w:rPr>
                <w:vertAlign w:val="subscript"/>
              </w:rPr>
              <w:t>chloride salts</w:t>
            </w:r>
            <w:r w:rsidRPr="00AA4B12">
              <w:t xml:space="preserve"> </w:t>
            </w:r>
            <w:r w:rsidRPr="005B004A">
              <w:t xml:space="preserve">= (Ca + Mg) </w:t>
            </w:r>
            <w:r w:rsidRPr="005B004A">
              <w:rPr>
                <w:vertAlign w:val="subscript"/>
              </w:rPr>
              <w:t>sample</w:t>
            </w:r>
            <w:r w:rsidRPr="005B004A">
              <w:t xml:space="preserve"> </w:t>
            </w:r>
            <w:r w:rsidR="002529A5" w:rsidRPr="005B004A">
              <w:t>–</w:t>
            </w:r>
            <w:r w:rsidRPr="005B004A">
              <w:t xml:space="preserve"> Alkalinity </w:t>
            </w:r>
            <w:r w:rsidR="002529A5" w:rsidRPr="005B004A">
              <w:t>–</w:t>
            </w:r>
            <w:r w:rsidRPr="005B004A">
              <w:t xml:space="preserve"> SO</w:t>
            </w:r>
            <w:r w:rsidRPr="005B004A">
              <w:rPr>
                <w:vertAlign w:val="subscript"/>
              </w:rPr>
              <w:t>4</w:t>
            </w:r>
            <w:r w:rsidRPr="005B004A">
              <w:rPr>
                <w:vertAlign w:val="superscript"/>
              </w:rPr>
              <w:t>2</w:t>
            </w:r>
            <w:r w:rsidR="002529A5" w:rsidRPr="005B004A">
              <w:rPr>
                <w:vertAlign w:val="superscript"/>
              </w:rPr>
              <w:t>–</w:t>
            </w:r>
            <w:r w:rsidRPr="005B004A">
              <w:t xml:space="preserve"> (</w:t>
            </w:r>
            <w:proofErr w:type="spellStart"/>
            <w:r w:rsidRPr="005B004A">
              <w:t>meq</w:t>
            </w:r>
            <w:proofErr w:type="spellEnd"/>
            <w:r w:rsidRPr="005B004A">
              <w:t>/L)</w:t>
            </w:r>
          </w:p>
        </w:tc>
        <w:tc>
          <w:tcPr>
            <w:tcW w:w="431" w:type="dxa"/>
            <w:vAlign w:val="center"/>
          </w:tcPr>
          <w:p w14:paraId="3946413D" w14:textId="2036B15E" w:rsidR="00944428" w:rsidRPr="005B004A" w:rsidRDefault="00944428" w:rsidP="00F55798">
            <w:pPr>
              <w:pStyle w:val="MDPI3aequationnumber"/>
              <w:spacing w:line="260" w:lineRule="atLeast"/>
            </w:pPr>
            <w:r w:rsidRPr="005B004A">
              <w:t>(3)</w:t>
            </w:r>
          </w:p>
        </w:tc>
      </w:tr>
      <w:tr w:rsidR="00944428" w:rsidRPr="005B004A" w14:paraId="7D297E57" w14:textId="77777777" w:rsidTr="00944428">
        <w:tc>
          <w:tcPr>
            <w:tcW w:w="7428" w:type="dxa"/>
          </w:tcPr>
          <w:p w14:paraId="351AFC9D" w14:textId="08E54B8F" w:rsidR="00944428" w:rsidRPr="005B004A" w:rsidRDefault="00944428" w:rsidP="00944428">
            <w:pPr>
              <w:pStyle w:val="MDPI39equation"/>
            </w:pPr>
            <w:r w:rsidRPr="005B004A">
              <w:t>Na</w:t>
            </w:r>
            <w:r w:rsidR="00AA4B12">
              <w:t xml:space="preserve"> </w:t>
            </w:r>
            <w:r w:rsidRPr="005B004A">
              <w:rPr>
                <w:vertAlign w:val="subscript"/>
              </w:rPr>
              <w:t>chloride salts</w:t>
            </w:r>
            <w:r w:rsidRPr="00AA4B12">
              <w:t xml:space="preserve"> </w:t>
            </w:r>
            <w:r w:rsidRPr="005B004A">
              <w:t>= Cl</w:t>
            </w:r>
            <w:r w:rsidR="002529A5" w:rsidRPr="005B004A">
              <w:rPr>
                <w:vertAlign w:val="superscript"/>
              </w:rPr>
              <w:t>–</w:t>
            </w:r>
            <w:r w:rsidRPr="005B004A">
              <w:t xml:space="preserve"> </w:t>
            </w:r>
            <w:r w:rsidR="002529A5" w:rsidRPr="005B004A">
              <w:t>–</w:t>
            </w:r>
            <w:r w:rsidRPr="005B004A">
              <w:t xml:space="preserve"> (Ca + Mg) </w:t>
            </w:r>
            <w:r w:rsidRPr="005B004A">
              <w:rPr>
                <w:vertAlign w:val="subscript"/>
              </w:rPr>
              <w:t>chloride salts</w:t>
            </w:r>
            <w:r w:rsidRPr="005B004A">
              <w:t xml:space="preserve"> (</w:t>
            </w:r>
            <w:proofErr w:type="spellStart"/>
            <w:r w:rsidRPr="005B004A">
              <w:t>meq</w:t>
            </w:r>
            <w:proofErr w:type="spellEnd"/>
            <w:r w:rsidRPr="005B004A">
              <w:t>/L)</w:t>
            </w:r>
          </w:p>
        </w:tc>
        <w:tc>
          <w:tcPr>
            <w:tcW w:w="431" w:type="dxa"/>
            <w:vAlign w:val="center"/>
          </w:tcPr>
          <w:p w14:paraId="6759DABD" w14:textId="49EB599D" w:rsidR="00944428" w:rsidRPr="005B004A" w:rsidRDefault="00944428" w:rsidP="00944428">
            <w:pPr>
              <w:pStyle w:val="MDPI3aequationnumber"/>
              <w:spacing w:line="260" w:lineRule="atLeast"/>
            </w:pPr>
            <w:r w:rsidRPr="005B004A">
              <w:t>(4)</w:t>
            </w:r>
          </w:p>
        </w:tc>
      </w:tr>
    </w:tbl>
    <w:p w14:paraId="77761DDB" w14:textId="495790F4" w:rsidR="00A62080" w:rsidRDefault="00944428" w:rsidP="00A62080">
      <w:pPr>
        <w:pStyle w:val="MDPI31text"/>
      </w:pPr>
      <w:r w:rsidRPr="005B004A">
        <w:t>Illustration of the mass balance for the chloride salts is given in Figure 12 for samples composition largely dominated by Cl</w:t>
      </w:r>
      <w:r w:rsidR="002529A5" w:rsidRPr="005B004A">
        <w:rPr>
          <w:vertAlign w:val="superscript"/>
        </w:rPr>
        <w:t>–</w:t>
      </w:r>
      <w:r w:rsidRPr="005B004A">
        <w:t xml:space="preserve"> inputs. For St.</w:t>
      </w:r>
      <w:r w:rsidR="00F039AD" w:rsidRPr="005B004A">
        <w:t xml:space="preserve"> </w:t>
      </w:r>
      <w:proofErr w:type="spellStart"/>
      <w:r w:rsidRPr="005B004A">
        <w:t>Roch</w:t>
      </w:r>
      <w:proofErr w:type="spellEnd"/>
      <w:r w:rsidRPr="005B004A">
        <w:t xml:space="preserve"> wellbore, 40</w:t>
      </w:r>
      <w:r w:rsidRPr="00944428">
        <w:t>% of Ca</w:t>
      </w:r>
      <w:r w:rsidRPr="00944428">
        <w:rPr>
          <w:vertAlign w:val="superscript"/>
        </w:rPr>
        <w:t>2+</w:t>
      </w:r>
      <w:r w:rsidRPr="00944428">
        <w:t xml:space="preserve"> and Mg</w:t>
      </w:r>
      <w:r w:rsidRPr="00944428">
        <w:rPr>
          <w:vertAlign w:val="superscript"/>
        </w:rPr>
        <w:t>2+</w:t>
      </w:r>
      <w:r w:rsidRPr="00944428">
        <w:t xml:space="preserve"> </w:t>
      </w:r>
      <w:r w:rsidRPr="00944428">
        <w:lastRenderedPageBreak/>
        <w:t>would originate from chloride salts (Y</w:t>
      </w:r>
      <w:r w:rsidR="002529A5">
        <w:t>–</w:t>
      </w:r>
      <w:r w:rsidRPr="00944428">
        <w:t>axis in Figure 12). For the two deepest samples of Abbotsford</w:t>
      </w:r>
      <w:r w:rsidR="00F039AD" w:rsidRPr="00F039AD">
        <w:t xml:space="preserve"> </w:t>
      </w:r>
      <w:r w:rsidRPr="00944428">
        <w:t>PO7, about 20% of Ca</w:t>
      </w:r>
      <w:r w:rsidRPr="00944428">
        <w:rPr>
          <w:vertAlign w:val="superscript"/>
        </w:rPr>
        <w:t>2+</w:t>
      </w:r>
      <w:r w:rsidRPr="00944428">
        <w:t xml:space="preserve"> and Mg</w:t>
      </w:r>
      <w:r w:rsidRPr="00944428">
        <w:rPr>
          <w:vertAlign w:val="superscript"/>
        </w:rPr>
        <w:t>2+</w:t>
      </w:r>
      <w:r w:rsidRPr="00944428">
        <w:t xml:space="preserve"> would originate from chloride salts, while the shallowest sample does</w:t>
      </w:r>
      <w:r w:rsidR="00CE1C60">
        <w:t xml:space="preserve"> not</w:t>
      </w:r>
      <w:r w:rsidRPr="00944428">
        <w:t xml:space="preserve"> show any of such Ca</w:t>
      </w:r>
      <w:r w:rsidRPr="00BF6965">
        <w:rPr>
          <w:vertAlign w:val="superscript"/>
        </w:rPr>
        <w:t>2+</w:t>
      </w:r>
      <w:r w:rsidRPr="00944428">
        <w:t xml:space="preserve"> and Mg</w:t>
      </w:r>
      <w:r w:rsidRPr="00BF6965">
        <w:rPr>
          <w:vertAlign w:val="superscript"/>
        </w:rPr>
        <w:t>2+</w:t>
      </w:r>
      <w:r w:rsidRPr="00944428">
        <w:t xml:space="preserve"> inputs. For Abbotsford</w:t>
      </w:r>
      <w:r w:rsidR="00F039AD" w:rsidRPr="00F039AD">
        <w:t xml:space="preserve"> </w:t>
      </w:r>
      <w:r w:rsidRPr="00944428">
        <w:t>PO5, Ca</w:t>
      </w:r>
      <w:r w:rsidRPr="00BF6965">
        <w:rPr>
          <w:vertAlign w:val="superscript"/>
        </w:rPr>
        <w:t>2+</w:t>
      </w:r>
      <w:r w:rsidRPr="00944428">
        <w:t xml:space="preserve"> and Mg</w:t>
      </w:r>
      <w:r w:rsidRPr="00BF6965">
        <w:rPr>
          <w:vertAlign w:val="superscript"/>
        </w:rPr>
        <w:t>2+</w:t>
      </w:r>
      <w:r w:rsidR="00BF6965">
        <w:t xml:space="preserve"> </w:t>
      </w:r>
      <w:r w:rsidRPr="00944428">
        <w:t>contributions from chloride salts are relatively weak for the two shallowest samples (between 5 and 15%), while they account for about 90% of the salinity for the two deepest samples.</w:t>
      </w:r>
    </w:p>
    <w:p w14:paraId="271C986C" w14:textId="2ACCE366" w:rsidR="00A62080" w:rsidRPr="00BF6965" w:rsidRDefault="00FC0BD0" w:rsidP="00BF6965">
      <w:pPr>
        <w:pStyle w:val="MDPI52figure"/>
        <w:ind w:left="2608"/>
        <w:jc w:val="left"/>
        <w:rPr>
          <w:b/>
        </w:rPr>
      </w:pPr>
      <w:r>
        <w:rPr>
          <w:b/>
          <w:noProof/>
        </w:rPr>
        <w:drawing>
          <wp:inline distT="0" distB="0" distL="0" distR="0" wp14:anchorId="5ACA3324" wp14:editId="7FB7C2D5">
            <wp:extent cx="3706091" cy="2274053"/>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2462" cy="2290234"/>
                    </a:xfrm>
                    <a:prstGeom prst="rect">
                      <a:avLst/>
                    </a:prstGeom>
                    <a:noFill/>
                  </pic:spPr>
                </pic:pic>
              </a:graphicData>
            </a:graphic>
          </wp:inline>
        </w:drawing>
      </w:r>
    </w:p>
    <w:p w14:paraId="3DB428F6" w14:textId="4F677A25" w:rsidR="00BF6965" w:rsidRPr="00BF6965" w:rsidRDefault="00AA4B12" w:rsidP="00AA4B12">
      <w:pPr>
        <w:pStyle w:val="MDPI51figurecaption"/>
        <w:jc w:val="both"/>
        <w:rPr>
          <w:b/>
        </w:rPr>
      </w:pPr>
      <w:r w:rsidRPr="00AA4B12">
        <w:rPr>
          <w:b/>
        </w:rPr>
        <w:t xml:space="preserve">Figure 12. </w:t>
      </w:r>
      <w:r w:rsidR="00BF6965" w:rsidRPr="00BF6965">
        <w:t>Ratio of Ca</w:t>
      </w:r>
      <w:r w:rsidR="00BF6965" w:rsidRPr="00BF6965">
        <w:rPr>
          <w:vertAlign w:val="superscript"/>
        </w:rPr>
        <w:t>2+</w:t>
      </w:r>
      <w:r w:rsidR="00BF6965" w:rsidRPr="00BF6965">
        <w:t>, Mg</w:t>
      </w:r>
      <w:r w:rsidR="00BF6965" w:rsidRPr="00BF6965">
        <w:rPr>
          <w:vertAlign w:val="superscript"/>
        </w:rPr>
        <w:t>2+</w:t>
      </w:r>
      <w:r w:rsidR="00BF6965" w:rsidRPr="00BF6965">
        <w:t xml:space="preserve"> and Na</w:t>
      </w:r>
      <w:r w:rsidR="00BF6965" w:rsidRPr="00BF6965">
        <w:rPr>
          <w:vertAlign w:val="superscript"/>
        </w:rPr>
        <w:t>+</w:t>
      </w:r>
      <w:r w:rsidR="00BF6965" w:rsidRPr="00BF6965">
        <w:t xml:space="preserve"> contributions from chloride salts evaluated in the samples showing an anionic composition dominated by Cl</w:t>
      </w:r>
      <w:r w:rsidR="002529A5">
        <w:rPr>
          <w:vertAlign w:val="superscript"/>
        </w:rPr>
        <w:t>–</w:t>
      </w:r>
      <w:r w:rsidR="00BF6965" w:rsidRPr="00BF6965">
        <w:t xml:space="preserve"> (St.</w:t>
      </w:r>
      <w:r w:rsidR="00F039AD" w:rsidRPr="00F039AD">
        <w:t xml:space="preserve"> </w:t>
      </w:r>
      <w:proofErr w:type="spellStart"/>
      <w:r w:rsidR="00BF6965" w:rsidRPr="00BF6965">
        <w:t>Roch</w:t>
      </w:r>
      <w:proofErr w:type="spellEnd"/>
      <w:r w:rsidR="00BF6965" w:rsidRPr="00BF6965">
        <w:t xml:space="preserve"> and Abbotsford wellbores)</w:t>
      </w:r>
      <w:r>
        <w:t>.</w:t>
      </w:r>
    </w:p>
    <w:bookmarkEnd w:id="10"/>
    <w:p w14:paraId="4C8CAAC9" w14:textId="4F44D21B" w:rsidR="00E94B1B" w:rsidRDefault="00BF6965" w:rsidP="00E94B1B">
      <w:pPr>
        <w:pStyle w:val="MDPI23heading3"/>
      </w:pPr>
      <w:r>
        <w:t>4.3.2</w:t>
      </w:r>
      <w:r w:rsidR="00E94B1B">
        <w:t xml:space="preserve">. </w:t>
      </w:r>
      <w:proofErr w:type="spellStart"/>
      <w:r w:rsidRPr="00BF6965">
        <w:t>Calco</w:t>
      </w:r>
      <w:proofErr w:type="spellEnd"/>
      <w:r w:rsidR="002529A5">
        <w:t>–</w:t>
      </w:r>
      <w:r w:rsidRPr="00BF6965">
        <w:t>carbonic system and δ</w:t>
      </w:r>
      <w:r w:rsidRPr="00BF6965">
        <w:rPr>
          <w:vertAlign w:val="superscript"/>
        </w:rPr>
        <w:t>13</w:t>
      </w:r>
      <w:r w:rsidRPr="00BF6965">
        <w:t>C</w:t>
      </w:r>
    </w:p>
    <w:p w14:paraId="5048DF27" w14:textId="0FAFF260" w:rsidR="00BF6965" w:rsidRPr="00A6413F" w:rsidRDefault="003C42C1" w:rsidP="00BF6965">
      <w:pPr>
        <w:pStyle w:val="MDPI31text"/>
      </w:pPr>
      <w:r w:rsidRPr="003C42C1">
        <w:t>Partial CO</w:t>
      </w:r>
      <w:r w:rsidRPr="003C42C1">
        <w:rPr>
          <w:vertAlign w:val="subscript"/>
        </w:rPr>
        <w:t>2</w:t>
      </w:r>
      <w:r w:rsidRPr="003C42C1">
        <w:t xml:space="preserve"> pressure for each sample was computed using PHREEQC and are presented </w:t>
      </w:r>
      <w:r w:rsidRPr="00AA4B12">
        <w:t>in Figure 13 as a</w:t>
      </w:r>
      <w:r w:rsidRPr="003C42C1">
        <w:t xml:space="preserve"> function of pH, alkalinity, as well as the typical pCO</w:t>
      </w:r>
      <w:r w:rsidRPr="003C42C1">
        <w:rPr>
          <w:vertAlign w:val="subscript"/>
        </w:rPr>
        <w:t>2</w:t>
      </w:r>
      <w:r w:rsidRPr="003C42C1">
        <w:t xml:space="preserve"> at the recharge (i.e., soils and atmosphere). Saturation equilibrium curves towards calcite were also computed with PHREEQC (mean temperature of groundwater: 8.5 °C), considering theoretical fully open and closed </w:t>
      </w:r>
      <w:r w:rsidRPr="00A6413F">
        <w:t>systems with different pCO</w:t>
      </w:r>
      <w:r w:rsidRPr="00A6413F">
        <w:rPr>
          <w:vertAlign w:val="subscript"/>
        </w:rPr>
        <w:t>2</w:t>
      </w:r>
      <w:r w:rsidRPr="00A6413F">
        <w:t xml:space="preserve"> ranges (i.e., modelling of equilibrium </w:t>
      </w:r>
      <w:r w:rsidR="000401D1" w:rsidRPr="00A6413F">
        <w:t xml:space="preserve">at </w:t>
      </w:r>
      <w:r w:rsidRPr="00A6413F">
        <w:t xml:space="preserve">calcite </w:t>
      </w:r>
      <w:r w:rsidR="000401D1" w:rsidRPr="00A6413F">
        <w:t>saturation</w:t>
      </w:r>
      <w:r w:rsidRPr="00A6413F">
        <w:t>, with a solution under constant pCO</w:t>
      </w:r>
      <w:r w:rsidRPr="00A6413F">
        <w:rPr>
          <w:vertAlign w:val="subscript"/>
        </w:rPr>
        <w:t>2</w:t>
      </w:r>
      <w:r w:rsidRPr="00A6413F">
        <w:t>, or with a solution having initial but not replenished pCO</w:t>
      </w:r>
      <w:r w:rsidRPr="00A6413F">
        <w:rPr>
          <w:vertAlign w:val="subscript"/>
        </w:rPr>
        <w:t>2</w:t>
      </w:r>
      <w:r w:rsidRPr="00A6413F">
        <w:t>). Arrows depicts the evolution in theoretical open and closed systems as well as for “partially open system” (introduced in Section 3.2) that conceptually correspond to open condition prevailing at the recharge and within the unsaturated zone, followed by and evolution in closed condition within the saturated zone.</w:t>
      </w:r>
    </w:p>
    <w:p w14:paraId="207A8E34" w14:textId="6E22603A" w:rsidR="00BF6965" w:rsidRDefault="000C17C9" w:rsidP="0095199F">
      <w:pPr>
        <w:pStyle w:val="MDPI52figure"/>
        <w:spacing w:before="120"/>
        <w:ind w:left="2608"/>
        <w:jc w:val="left"/>
        <w:rPr>
          <w:noProof/>
        </w:rPr>
      </w:pPr>
      <w:r>
        <w:rPr>
          <w:noProof/>
        </w:rPr>
        <w:drawing>
          <wp:inline distT="0" distB="0" distL="0" distR="0" wp14:anchorId="0D95DC12" wp14:editId="2DAF0909">
            <wp:extent cx="3842380" cy="2570018"/>
            <wp:effectExtent l="0" t="0" r="635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1716" cy="2589640"/>
                    </a:xfrm>
                    <a:prstGeom prst="rect">
                      <a:avLst/>
                    </a:prstGeom>
                    <a:noFill/>
                  </pic:spPr>
                </pic:pic>
              </a:graphicData>
            </a:graphic>
          </wp:inline>
        </w:drawing>
      </w:r>
    </w:p>
    <w:p w14:paraId="38E0EB1D" w14:textId="3A6FA57E" w:rsidR="000401D1" w:rsidRPr="00A6413F" w:rsidRDefault="000401D1" w:rsidP="000401D1">
      <w:pPr>
        <w:pStyle w:val="MDPI51figurecaption"/>
        <w:rPr>
          <w:bCs/>
        </w:rPr>
      </w:pPr>
      <w:r w:rsidRPr="000401D1">
        <w:rPr>
          <w:b/>
        </w:rPr>
        <w:t xml:space="preserve">Figure </w:t>
      </w:r>
      <w:r w:rsidRPr="00A6413F">
        <w:rPr>
          <w:b/>
        </w:rPr>
        <w:t>13</w:t>
      </w:r>
      <w:r w:rsidR="00970878">
        <w:rPr>
          <w:b/>
        </w:rPr>
        <w:t>.</w:t>
      </w:r>
      <w:r w:rsidRPr="00A6413F">
        <w:rPr>
          <w:b/>
        </w:rPr>
        <w:t xml:space="preserve"> </w:t>
      </w:r>
      <w:r w:rsidRPr="00A6413F">
        <w:rPr>
          <w:bCs/>
        </w:rPr>
        <w:t>(Modified from Clark [</w:t>
      </w:r>
      <w:r w:rsidR="003573E8">
        <w:rPr>
          <w:bCs/>
        </w:rPr>
        <w:t>32</w:t>
      </w:r>
      <w:r w:rsidRPr="00A6413F">
        <w:rPr>
          <w:bCs/>
        </w:rPr>
        <w:t>]): Samples pCO</w:t>
      </w:r>
      <w:r w:rsidRPr="00A6413F">
        <w:rPr>
          <w:bCs/>
          <w:vertAlign w:val="subscript"/>
        </w:rPr>
        <w:t>2</w:t>
      </w:r>
      <w:r w:rsidRPr="00A6413F">
        <w:rPr>
          <w:bCs/>
        </w:rPr>
        <w:t xml:space="preserve"> as a function of pH, shown together with saturation equilibriums for calcite and pCO</w:t>
      </w:r>
      <w:r w:rsidRPr="00A6413F">
        <w:rPr>
          <w:bCs/>
          <w:vertAlign w:val="subscript"/>
        </w:rPr>
        <w:t>2</w:t>
      </w:r>
      <w:r w:rsidRPr="00A6413F">
        <w:rPr>
          <w:bCs/>
        </w:rPr>
        <w:t xml:space="preserve"> at the recharge (soil and atmosphere).</w:t>
      </w:r>
    </w:p>
    <w:p w14:paraId="5FBF6B4F" w14:textId="566B0835" w:rsidR="00BF6965" w:rsidRDefault="000401D1" w:rsidP="000401D1">
      <w:pPr>
        <w:pStyle w:val="MDPI31text"/>
      </w:pPr>
      <w:r w:rsidRPr="00A6413F">
        <w:lastRenderedPageBreak/>
        <w:t>The isotopic composition of dissolved inorganic carbon (δ</w:t>
      </w:r>
      <w:r w:rsidRPr="00A6413F">
        <w:rPr>
          <w:vertAlign w:val="superscript"/>
        </w:rPr>
        <w:t>13</w:t>
      </w:r>
      <w:r w:rsidRPr="00A6413F">
        <w:t>C</w:t>
      </w:r>
      <w:r w:rsidRPr="00A6413F">
        <w:rPr>
          <w:vertAlign w:val="subscript"/>
        </w:rPr>
        <w:t>DIC</w:t>
      </w:r>
      <w:r w:rsidRPr="00A6413F">
        <w:t xml:space="preserve">) in the sampled groundwater can be visualized in </w:t>
      </w:r>
      <w:r w:rsidRPr="00E37EAB">
        <w:t>Figure 14,</w:t>
      </w:r>
      <w:r w:rsidRPr="00A6413F">
        <w:t xml:space="preserve"> along with δ</w:t>
      </w:r>
      <w:r w:rsidRPr="00A6413F">
        <w:rPr>
          <w:vertAlign w:val="superscript"/>
        </w:rPr>
        <w:t>13</w:t>
      </w:r>
      <w:r w:rsidRPr="00A6413F">
        <w:t>C</w:t>
      </w:r>
      <w:r w:rsidRPr="00A6413F">
        <w:rPr>
          <w:vertAlign w:val="subscript"/>
        </w:rPr>
        <w:t>g</w:t>
      </w:r>
      <w:r w:rsidRPr="00A6413F">
        <w:t xml:space="preserve"> from C3 and C4 vegetation, and with δ</w:t>
      </w:r>
      <w:r w:rsidRPr="00A6413F">
        <w:rPr>
          <w:vertAlign w:val="superscript"/>
        </w:rPr>
        <w:t>13</w:t>
      </w:r>
      <w:r w:rsidRPr="00A6413F">
        <w:t>C</w:t>
      </w:r>
      <w:r w:rsidRPr="00A6413F">
        <w:rPr>
          <w:vertAlign w:val="subscript"/>
        </w:rPr>
        <w:t>DIC</w:t>
      </w:r>
      <w:r w:rsidRPr="00A6413F">
        <w:t xml:space="preserve"> endmembers at calcite saturation. The DIC and pH end members for open and closed systems conditions are calculated with PHREEQC. Considering a fully open system (theoretical), δ</w:t>
      </w:r>
      <w:r w:rsidRPr="00A6413F">
        <w:rPr>
          <w:vertAlign w:val="superscript"/>
        </w:rPr>
        <w:t>13</w:t>
      </w:r>
      <w:r w:rsidRPr="00A6413F">
        <w:t>C</w:t>
      </w:r>
      <w:r w:rsidRPr="00A6413F">
        <w:rPr>
          <w:vertAlign w:val="subscript"/>
        </w:rPr>
        <w:t>DIC</w:t>
      </w:r>
      <w:r w:rsidRPr="00A6413F">
        <w:t xml:space="preserve"> endmembers on Figure 14 correspond to the enrichment due to the fractionation (εCO</w:t>
      </w:r>
      <w:r w:rsidRPr="00A6413F">
        <w:rPr>
          <w:vertAlign w:val="subscript"/>
        </w:rPr>
        <w:t>2</w:t>
      </w:r>
      <w:r w:rsidRPr="00A6413F">
        <w:t>/DIC) between soil CO</w:t>
      </w:r>
      <w:r w:rsidRPr="00A6413F">
        <w:rPr>
          <w:vertAlign w:val="subscript"/>
        </w:rPr>
        <w:t>2</w:t>
      </w:r>
      <w:r w:rsidRPr="00A6413F">
        <w:t xml:space="preserve"> and the DIC. This fractionation is calculated using the weighted enrichment contributions of each DIC species (H</w:t>
      </w:r>
      <w:r w:rsidRPr="00A6413F">
        <w:rPr>
          <w:vertAlign w:val="subscript"/>
        </w:rPr>
        <w:t>2</w:t>
      </w:r>
      <w:r w:rsidRPr="00A6413F">
        <w:t>CO</w:t>
      </w:r>
      <w:r w:rsidRPr="00A6413F">
        <w:rPr>
          <w:vertAlign w:val="subscript"/>
        </w:rPr>
        <w:t>3</w:t>
      </w:r>
      <w:r w:rsidRPr="00A6413F">
        <w:t>, HCO</w:t>
      </w:r>
      <w:r w:rsidRPr="00A6413F">
        <w:rPr>
          <w:vertAlign w:val="subscript"/>
        </w:rPr>
        <w:t>3</w:t>
      </w:r>
      <w:r w:rsidR="002529A5">
        <w:rPr>
          <w:vertAlign w:val="superscript"/>
        </w:rPr>
        <w:t>–</w:t>
      </w:r>
      <w:r w:rsidRPr="00A6413F">
        <w:t>, CO</w:t>
      </w:r>
      <w:r w:rsidRPr="00A6413F">
        <w:rPr>
          <w:vertAlign w:val="subscript"/>
        </w:rPr>
        <w:t>3</w:t>
      </w:r>
      <w:r w:rsidRPr="00A6413F">
        <w:rPr>
          <w:vertAlign w:val="superscript"/>
        </w:rPr>
        <w:t>2</w:t>
      </w:r>
      <w:r w:rsidR="002529A5">
        <w:rPr>
          <w:vertAlign w:val="superscript"/>
        </w:rPr>
        <w:t>–</w:t>
      </w:r>
      <w:r w:rsidRPr="00A6413F">
        <w:t>) at given pH [</w:t>
      </w:r>
      <w:r w:rsidR="003573E8">
        <w:t>33</w:t>
      </w:r>
      <w:r w:rsidRPr="00A6413F">
        <w:t>] and at 8.5</w:t>
      </w:r>
      <w:r w:rsidR="00F77D0E">
        <w:t xml:space="preserve"> </w:t>
      </w:r>
      <w:r w:rsidRPr="00A6413F">
        <w:t>°C (mean temperature of the groundwater samples, Table</w:t>
      </w:r>
      <w:r w:rsidR="00F77D0E">
        <w:t> 1</w:t>
      </w:r>
      <w:r w:rsidRPr="00A6413F">
        <w:t>). Considering a fully closed system (theoretical), δ</w:t>
      </w:r>
      <w:r w:rsidRPr="00A6413F">
        <w:rPr>
          <w:vertAlign w:val="superscript"/>
        </w:rPr>
        <w:t>13</w:t>
      </w:r>
      <w:r w:rsidRPr="00A6413F">
        <w:t>C</w:t>
      </w:r>
      <w:r w:rsidRPr="00A6413F">
        <w:rPr>
          <w:vertAlign w:val="subscript"/>
        </w:rPr>
        <w:t>DIC</w:t>
      </w:r>
      <w:r w:rsidRPr="00A6413F">
        <w:t xml:space="preserve"> endmembers are calculated considering that half of the carbon from soil CO</w:t>
      </w:r>
      <w:r w:rsidRPr="00A6413F">
        <w:rPr>
          <w:vertAlign w:val="subscript"/>
        </w:rPr>
        <w:t>2</w:t>
      </w:r>
      <w:r w:rsidRPr="00A6413F">
        <w:t xml:space="preserve"> (δ</w:t>
      </w:r>
      <w:r w:rsidRPr="00A6413F">
        <w:rPr>
          <w:vertAlign w:val="superscript"/>
        </w:rPr>
        <w:t>13</w:t>
      </w:r>
      <w:r w:rsidRPr="00A6413F">
        <w:t>C</w:t>
      </w:r>
      <w:r w:rsidRPr="00A6413F">
        <w:rPr>
          <w:vertAlign w:val="subscript"/>
        </w:rPr>
        <w:t>g</w:t>
      </w:r>
      <w:r w:rsidRPr="00A6413F">
        <w:t>) is diluted (and enriched) with carbon (δ</w:t>
      </w:r>
      <w:r w:rsidRPr="00A6413F">
        <w:rPr>
          <w:vertAlign w:val="superscript"/>
        </w:rPr>
        <w:t>13</w:t>
      </w:r>
      <w:r w:rsidRPr="00A6413F">
        <w:t>C</w:t>
      </w:r>
      <w:r w:rsidRPr="00A6413F">
        <w:rPr>
          <w:vertAlign w:val="subscript"/>
        </w:rPr>
        <w:t>s</w:t>
      </w:r>
      <w:r w:rsidRPr="00A6413F">
        <w:t>) from carbonates weathering (calcite and dolomite weathering at Equations 5 and 6).</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0401D1" w:rsidRPr="003030D2" w14:paraId="49808D04" w14:textId="77777777" w:rsidTr="00F55798">
        <w:tc>
          <w:tcPr>
            <w:tcW w:w="7428" w:type="dxa"/>
          </w:tcPr>
          <w:p w14:paraId="38DB4A36" w14:textId="70D77C0A" w:rsidR="000401D1" w:rsidRPr="003030D2" w:rsidRDefault="000401D1" w:rsidP="00F55798">
            <w:pPr>
              <w:pStyle w:val="MDPI39equation"/>
            </w:pPr>
            <w:r>
              <w:t>CO</w:t>
            </w:r>
            <w:r w:rsidRPr="000401D1">
              <w:rPr>
                <w:vertAlign w:val="subscript"/>
              </w:rPr>
              <w:t>2</w:t>
            </w:r>
            <w:r>
              <w:t xml:space="preserve"> + H</w:t>
            </w:r>
            <w:r w:rsidRPr="000401D1">
              <w:rPr>
                <w:vertAlign w:val="subscript"/>
              </w:rPr>
              <w:t>2</w:t>
            </w:r>
            <w:r>
              <w:t>O + CaCO</w:t>
            </w:r>
            <w:r w:rsidRPr="000401D1">
              <w:rPr>
                <w:vertAlign w:val="subscript"/>
              </w:rPr>
              <w:t>3</w:t>
            </w:r>
            <w:r>
              <w:rPr>
                <w:vertAlign w:val="subscript"/>
              </w:rPr>
              <w:t xml:space="preserve"> </w:t>
            </w:r>
            <w:r>
              <w:t xml:space="preserve"> </w:t>
            </w:r>
            <w:r w:rsidR="00E37EAB">
              <w:sym w:font="Wingdings" w:char="F0E0"/>
            </w:r>
            <w:r>
              <w:t xml:space="preserve"> Ca</w:t>
            </w:r>
            <w:r w:rsidRPr="000401D1">
              <w:rPr>
                <w:vertAlign w:val="superscript"/>
              </w:rPr>
              <w:t>2+</w:t>
            </w:r>
            <w:r>
              <w:t xml:space="preserve"> + 2 HCO</w:t>
            </w:r>
            <w:r w:rsidRPr="000401D1">
              <w:rPr>
                <w:vertAlign w:val="subscript"/>
              </w:rPr>
              <w:t>3</w:t>
            </w:r>
            <w:r w:rsidR="002529A5">
              <w:rPr>
                <w:vertAlign w:val="superscript"/>
              </w:rPr>
              <w:t>–</w:t>
            </w:r>
          </w:p>
        </w:tc>
        <w:tc>
          <w:tcPr>
            <w:tcW w:w="431" w:type="dxa"/>
            <w:vAlign w:val="center"/>
          </w:tcPr>
          <w:p w14:paraId="4FBABA0E" w14:textId="45D65B9A" w:rsidR="000401D1" w:rsidRPr="003030D2" w:rsidRDefault="000401D1" w:rsidP="00F55798">
            <w:pPr>
              <w:pStyle w:val="MDPI3aequationnumber"/>
              <w:spacing w:line="260" w:lineRule="atLeast"/>
            </w:pPr>
            <w:r w:rsidRPr="003030D2">
              <w:t>(</w:t>
            </w:r>
            <w:r>
              <w:t>5</w:t>
            </w:r>
            <w:r w:rsidRPr="003030D2">
              <w:t>)</w:t>
            </w:r>
          </w:p>
        </w:tc>
      </w:tr>
      <w:tr w:rsidR="000401D1" w:rsidRPr="003030D2" w14:paraId="3D11D221" w14:textId="77777777" w:rsidTr="00F55798">
        <w:tc>
          <w:tcPr>
            <w:tcW w:w="7428" w:type="dxa"/>
          </w:tcPr>
          <w:p w14:paraId="63AEBBCD" w14:textId="5198158C" w:rsidR="000401D1" w:rsidRPr="003030D2" w:rsidRDefault="000401D1" w:rsidP="000401D1">
            <w:pPr>
              <w:pStyle w:val="MDPI39equation"/>
            </w:pPr>
            <w:r>
              <w:t>2 CO</w:t>
            </w:r>
            <w:r w:rsidRPr="000401D1">
              <w:rPr>
                <w:vertAlign w:val="subscript"/>
              </w:rPr>
              <w:t>2</w:t>
            </w:r>
            <w:r>
              <w:t xml:space="preserve"> + 2 H</w:t>
            </w:r>
            <w:r w:rsidRPr="000401D1">
              <w:rPr>
                <w:vertAlign w:val="subscript"/>
              </w:rPr>
              <w:t>2</w:t>
            </w:r>
            <w:r>
              <w:t xml:space="preserve">O + </w:t>
            </w:r>
            <w:proofErr w:type="spellStart"/>
            <w:proofErr w:type="gramStart"/>
            <w:r>
              <w:t>CaMg</w:t>
            </w:r>
            <w:proofErr w:type="spellEnd"/>
            <w:r>
              <w:t>(</w:t>
            </w:r>
            <w:proofErr w:type="gramEnd"/>
            <w:r>
              <w:t>CO</w:t>
            </w:r>
            <w:r w:rsidRPr="000401D1">
              <w:rPr>
                <w:vertAlign w:val="subscript"/>
              </w:rPr>
              <w:t>3</w:t>
            </w:r>
            <w:r w:rsidRPr="000401D1">
              <w:t>)</w:t>
            </w:r>
            <w:r>
              <w:rPr>
                <w:vertAlign w:val="subscript"/>
              </w:rPr>
              <w:t xml:space="preserve">2 </w:t>
            </w:r>
            <w:r>
              <w:t xml:space="preserve"> </w:t>
            </w:r>
            <w:r w:rsidR="00E37EAB">
              <w:sym w:font="Wingdings" w:char="F0E0"/>
            </w:r>
            <w:r>
              <w:t xml:space="preserve"> Ca</w:t>
            </w:r>
            <w:r w:rsidRPr="000401D1">
              <w:rPr>
                <w:vertAlign w:val="superscript"/>
              </w:rPr>
              <w:t>2+</w:t>
            </w:r>
            <w:r>
              <w:t xml:space="preserve"> + Mg</w:t>
            </w:r>
            <w:r w:rsidRPr="000401D1">
              <w:rPr>
                <w:vertAlign w:val="superscript"/>
              </w:rPr>
              <w:t>2+</w:t>
            </w:r>
            <w:r>
              <w:t xml:space="preserve"> + 4 HCO</w:t>
            </w:r>
            <w:r w:rsidRPr="000401D1">
              <w:rPr>
                <w:vertAlign w:val="subscript"/>
              </w:rPr>
              <w:t>3</w:t>
            </w:r>
            <w:r w:rsidR="002529A5">
              <w:rPr>
                <w:vertAlign w:val="superscript"/>
              </w:rPr>
              <w:t>–</w:t>
            </w:r>
          </w:p>
        </w:tc>
        <w:tc>
          <w:tcPr>
            <w:tcW w:w="431" w:type="dxa"/>
            <w:vAlign w:val="center"/>
          </w:tcPr>
          <w:p w14:paraId="41679026" w14:textId="134B7CB9" w:rsidR="00E46A63" w:rsidRPr="003030D2" w:rsidRDefault="000401D1" w:rsidP="009806F2">
            <w:pPr>
              <w:pStyle w:val="MDPI3aequationnumber"/>
              <w:spacing w:line="260" w:lineRule="atLeast"/>
            </w:pPr>
            <w:r w:rsidRPr="003030D2">
              <w:t>(</w:t>
            </w:r>
            <w:r>
              <w:t>6</w:t>
            </w:r>
            <w:r w:rsidR="009806F2">
              <w:t>)</w:t>
            </w:r>
          </w:p>
        </w:tc>
      </w:tr>
    </w:tbl>
    <w:p w14:paraId="4C60B427" w14:textId="0F7D66B1" w:rsidR="00BF6965" w:rsidRPr="00A6413F" w:rsidRDefault="00C234CC" w:rsidP="002B261F">
      <w:pPr>
        <w:pStyle w:val="MDPI52figure"/>
        <w:ind w:left="2608"/>
        <w:jc w:val="left"/>
        <w:rPr>
          <w:b/>
        </w:rPr>
      </w:pPr>
      <w:r>
        <w:rPr>
          <w:b/>
          <w:noProof/>
        </w:rPr>
        <w:drawing>
          <wp:inline distT="0" distB="0" distL="0" distR="0" wp14:anchorId="33C33258" wp14:editId="004216CC">
            <wp:extent cx="4055533" cy="278966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a:extLst>
                        <a:ext uri="{28A0092B-C50C-407E-A947-70E740481C1C}">
                          <a14:useLocalDpi xmlns:a14="http://schemas.microsoft.com/office/drawing/2010/main" val="0"/>
                        </a:ext>
                      </a:extLst>
                    </a:blip>
                    <a:srcRect l="5862" b="5783"/>
                    <a:stretch/>
                  </pic:blipFill>
                  <pic:spPr bwMode="auto">
                    <a:xfrm>
                      <a:off x="0" y="0"/>
                      <a:ext cx="4078097" cy="2805183"/>
                    </a:xfrm>
                    <a:prstGeom prst="rect">
                      <a:avLst/>
                    </a:prstGeom>
                    <a:noFill/>
                    <a:ln>
                      <a:noFill/>
                    </a:ln>
                    <a:extLst>
                      <a:ext uri="{53640926-AAD7-44D8-BBD7-CCE9431645EC}">
                        <a14:shadowObscured xmlns:a14="http://schemas.microsoft.com/office/drawing/2010/main"/>
                      </a:ext>
                    </a:extLst>
                  </pic:spPr>
                </pic:pic>
              </a:graphicData>
            </a:graphic>
          </wp:inline>
        </w:drawing>
      </w:r>
    </w:p>
    <w:p w14:paraId="0CF2030E" w14:textId="491D20F1" w:rsidR="002B261F" w:rsidRPr="00A6413F" w:rsidRDefault="002B261F" w:rsidP="002B261F">
      <w:pPr>
        <w:pStyle w:val="MDPI51figurecaption"/>
        <w:rPr>
          <w:bCs/>
        </w:rPr>
      </w:pPr>
      <w:bookmarkStart w:id="14" w:name="_Toc30436778"/>
      <w:bookmarkStart w:id="15" w:name="_Toc57375080"/>
      <w:r w:rsidRPr="00A6413F">
        <w:rPr>
          <w:b/>
        </w:rPr>
        <w:t>Figure 14</w:t>
      </w:r>
      <w:r w:rsidR="001F6716">
        <w:rPr>
          <w:b/>
        </w:rPr>
        <w:t>.</w:t>
      </w:r>
      <w:r w:rsidR="00F039AD" w:rsidRPr="00F039AD">
        <w:rPr>
          <w:b/>
        </w:rPr>
        <w:t xml:space="preserve"> </w:t>
      </w:r>
      <w:r w:rsidRPr="00A6413F">
        <w:rPr>
          <w:bCs/>
        </w:rPr>
        <w:t>(Modified from Clark &amp; Fritz [</w:t>
      </w:r>
      <w:r w:rsidR="003573E8">
        <w:rPr>
          <w:bCs/>
        </w:rPr>
        <w:t>33</w:t>
      </w:r>
      <w:r w:rsidRPr="00A6413F">
        <w:rPr>
          <w:bCs/>
        </w:rPr>
        <w:t>]): δ</w:t>
      </w:r>
      <w:r w:rsidRPr="00A6413F">
        <w:rPr>
          <w:bCs/>
          <w:vertAlign w:val="superscript"/>
        </w:rPr>
        <w:t>13</w:t>
      </w:r>
      <w:r w:rsidRPr="00A6413F">
        <w:rPr>
          <w:bCs/>
        </w:rPr>
        <w:t>C</w:t>
      </w:r>
      <w:r w:rsidRPr="00A6413F">
        <w:rPr>
          <w:bCs/>
          <w:vertAlign w:val="subscript"/>
        </w:rPr>
        <w:t>DIC</w:t>
      </w:r>
      <w:r w:rsidRPr="00A6413F">
        <w:rPr>
          <w:bCs/>
        </w:rPr>
        <w:t>, DIC and pH of the samples represented with δ</w:t>
      </w:r>
      <w:r w:rsidRPr="00A6413F">
        <w:rPr>
          <w:bCs/>
          <w:vertAlign w:val="superscript"/>
        </w:rPr>
        <w:t>13</w:t>
      </w:r>
      <w:r w:rsidRPr="00A6413F">
        <w:rPr>
          <w:bCs/>
        </w:rPr>
        <w:t>C endmembers, for open and closed system conditions towards soil CO</w:t>
      </w:r>
      <w:r w:rsidRPr="00A6413F">
        <w:rPr>
          <w:bCs/>
          <w:vertAlign w:val="subscript"/>
        </w:rPr>
        <w:t>2</w:t>
      </w:r>
      <w:r w:rsidRPr="00A6413F">
        <w:rPr>
          <w:bCs/>
        </w:rPr>
        <w:t>, C3 and C4 vegetation δ</w:t>
      </w:r>
      <w:r w:rsidRPr="00A6413F">
        <w:rPr>
          <w:bCs/>
          <w:vertAlign w:val="superscript"/>
        </w:rPr>
        <w:t>13</w:t>
      </w:r>
      <w:r w:rsidRPr="00A6413F">
        <w:rPr>
          <w:bCs/>
        </w:rPr>
        <w:t>C</w:t>
      </w:r>
      <w:r w:rsidRPr="00A6413F">
        <w:rPr>
          <w:bCs/>
          <w:vertAlign w:val="subscript"/>
        </w:rPr>
        <w:t>g</w:t>
      </w:r>
      <w:r w:rsidRPr="00A6413F">
        <w:rPr>
          <w:bCs/>
        </w:rPr>
        <w:t xml:space="preserve"> and different soil pCO</w:t>
      </w:r>
      <w:r w:rsidRPr="00A6413F">
        <w:rPr>
          <w:bCs/>
          <w:vertAlign w:val="subscript"/>
        </w:rPr>
        <w:t>2</w:t>
      </w:r>
      <w:r w:rsidRPr="00A6413F">
        <w:rPr>
          <w:bCs/>
        </w:rPr>
        <w:t>. For an open system, δ</w:t>
      </w:r>
      <w:r w:rsidRPr="00A6413F">
        <w:rPr>
          <w:bCs/>
          <w:vertAlign w:val="superscript"/>
        </w:rPr>
        <w:t>13</w:t>
      </w:r>
      <w:r w:rsidRPr="00A6413F">
        <w:rPr>
          <w:bCs/>
        </w:rPr>
        <w:t>C</w:t>
      </w:r>
      <w:r w:rsidRPr="00A6413F">
        <w:rPr>
          <w:bCs/>
          <w:vertAlign w:val="subscript"/>
        </w:rPr>
        <w:t>DIC</w:t>
      </w:r>
      <w:r w:rsidRPr="00A6413F">
        <w:rPr>
          <w:bCs/>
        </w:rPr>
        <w:t xml:space="preserve"> fractionation (εCO</w:t>
      </w:r>
      <w:r w:rsidRPr="00A6413F">
        <w:rPr>
          <w:bCs/>
          <w:vertAlign w:val="subscript"/>
        </w:rPr>
        <w:t>2</w:t>
      </w:r>
      <w:r w:rsidRPr="00A6413F">
        <w:rPr>
          <w:bCs/>
        </w:rPr>
        <w:t>/DIC) at calcite saturation is considered between soil CO</w:t>
      </w:r>
      <w:r w:rsidRPr="00A6413F">
        <w:rPr>
          <w:bCs/>
          <w:vertAlign w:val="subscript"/>
        </w:rPr>
        <w:t>2</w:t>
      </w:r>
      <w:r w:rsidRPr="00A6413F">
        <w:rPr>
          <w:bCs/>
        </w:rPr>
        <w:t xml:space="preserve"> and weighted contribution of each DIC species, and calculated at 8.5</w:t>
      </w:r>
      <w:r w:rsidR="001420B4">
        <w:rPr>
          <w:bCs/>
        </w:rPr>
        <w:t xml:space="preserve"> </w:t>
      </w:r>
      <w:r w:rsidRPr="00A6413F">
        <w:rPr>
          <w:bCs/>
        </w:rPr>
        <w:t>°C. For closed system, a dilution of δ</w:t>
      </w:r>
      <w:r w:rsidRPr="00A6413F">
        <w:rPr>
          <w:bCs/>
          <w:vertAlign w:val="superscript"/>
        </w:rPr>
        <w:t>13</w:t>
      </w:r>
      <w:r w:rsidRPr="00A6413F">
        <w:rPr>
          <w:bCs/>
        </w:rPr>
        <w:t>C</w:t>
      </w:r>
      <w:r w:rsidRPr="00A6413F">
        <w:rPr>
          <w:bCs/>
          <w:vertAlign w:val="subscript"/>
        </w:rPr>
        <w:t>g</w:t>
      </w:r>
      <w:r w:rsidRPr="00A6413F">
        <w:rPr>
          <w:bCs/>
        </w:rPr>
        <w:t xml:space="preserve"> by half of δ</w:t>
      </w:r>
      <w:r w:rsidRPr="00A6413F">
        <w:rPr>
          <w:bCs/>
          <w:vertAlign w:val="superscript"/>
        </w:rPr>
        <w:t>13</w:t>
      </w:r>
      <w:r w:rsidRPr="00A6413F">
        <w:rPr>
          <w:bCs/>
        </w:rPr>
        <w:t>C</w:t>
      </w:r>
      <w:r w:rsidRPr="00A6413F">
        <w:rPr>
          <w:bCs/>
          <w:vertAlign w:val="subscript"/>
        </w:rPr>
        <w:t>s</w:t>
      </w:r>
      <w:r w:rsidRPr="00A6413F">
        <w:rPr>
          <w:bCs/>
        </w:rPr>
        <w:t xml:space="preserve"> from carbonates is considered.</w:t>
      </w:r>
      <w:bookmarkEnd w:id="14"/>
      <w:bookmarkEnd w:id="15"/>
    </w:p>
    <w:p w14:paraId="2350425D" w14:textId="3BD7152A" w:rsidR="00E01455" w:rsidRPr="00E01455" w:rsidRDefault="00E01455" w:rsidP="00E01455">
      <w:pPr>
        <w:pStyle w:val="MDPI23heading3"/>
      </w:pPr>
      <w:r w:rsidRPr="00A6413F">
        <w:t>4.3.3</w:t>
      </w:r>
      <w:r w:rsidR="00970878">
        <w:t>.</w:t>
      </w:r>
      <w:r w:rsidRPr="00A6413F">
        <w:t xml:space="preserve"> Stable isotopes of water</w:t>
      </w:r>
    </w:p>
    <w:p w14:paraId="6FD26033" w14:textId="3E60DF9F" w:rsidR="00BF6965" w:rsidRPr="002B261F" w:rsidRDefault="00E01455" w:rsidP="00E01455">
      <w:pPr>
        <w:pStyle w:val="MDPI31text"/>
        <w:rPr>
          <w:lang w:val="en-CA"/>
        </w:rPr>
      </w:pPr>
      <w:r w:rsidRPr="00E01455">
        <w:rPr>
          <w:lang w:val="en-CA"/>
        </w:rPr>
        <w:t>Stable isotope of water (δ</w:t>
      </w:r>
      <w:r w:rsidRPr="00E01455">
        <w:rPr>
          <w:vertAlign w:val="superscript"/>
          <w:lang w:val="en-CA"/>
        </w:rPr>
        <w:t>2</w:t>
      </w:r>
      <w:r w:rsidRPr="00E01455">
        <w:rPr>
          <w:lang w:val="en-CA"/>
        </w:rPr>
        <w:t>H, δ</w:t>
      </w:r>
      <w:r w:rsidRPr="00E01455">
        <w:rPr>
          <w:vertAlign w:val="superscript"/>
          <w:lang w:val="en-CA"/>
        </w:rPr>
        <w:t>18</w:t>
      </w:r>
      <w:r w:rsidRPr="00E01455">
        <w:rPr>
          <w:lang w:val="en-CA"/>
        </w:rPr>
        <w:t>O) compositions collected by passive sampling at depth are reported in Figure</w:t>
      </w:r>
      <w:r w:rsidR="00F039AD" w:rsidRPr="00F039AD">
        <w:rPr>
          <w:lang w:val="en-CA"/>
        </w:rPr>
        <w:t xml:space="preserve"> </w:t>
      </w:r>
      <w:r w:rsidRPr="00E01455">
        <w:rPr>
          <w:lang w:val="en-CA"/>
        </w:rPr>
        <w:t>15</w:t>
      </w:r>
      <w:r w:rsidR="00F039AD" w:rsidRPr="00F039AD">
        <w:rPr>
          <w:lang w:val="en-CA"/>
        </w:rPr>
        <w:t xml:space="preserve"> </w:t>
      </w:r>
      <w:r w:rsidRPr="00E01455">
        <w:rPr>
          <w:lang w:val="en-CA"/>
        </w:rPr>
        <w:t>a, as well as precipitation data collected in a station close to the St.</w:t>
      </w:r>
      <w:r w:rsidR="00F039AD" w:rsidRPr="00F039AD">
        <w:rPr>
          <w:lang w:val="en-CA"/>
        </w:rPr>
        <w:t xml:space="preserve"> </w:t>
      </w:r>
      <w:r w:rsidRPr="00E01455">
        <w:rPr>
          <w:lang w:val="en-CA"/>
        </w:rPr>
        <w:t>Lazare area [4</w:t>
      </w:r>
      <w:r w:rsidR="003573E8">
        <w:rPr>
          <w:lang w:val="en-CA"/>
        </w:rPr>
        <w:t>7</w:t>
      </w:r>
      <w:r w:rsidRPr="00E01455">
        <w:rPr>
          <w:lang w:val="en-CA"/>
        </w:rPr>
        <w:t>]. Isotopic compositions follow the local meteoric water line, indicating that the waters infiltrated contributing to the recharge did not undergo any significant surface evaporation compared to the precipitations, as otherwise δ</w:t>
      </w:r>
      <w:r w:rsidRPr="00E01455">
        <w:rPr>
          <w:vertAlign w:val="superscript"/>
          <w:lang w:val="en-CA"/>
        </w:rPr>
        <w:t>2</w:t>
      </w:r>
      <w:r w:rsidRPr="00E01455">
        <w:rPr>
          <w:lang w:val="en-CA"/>
        </w:rPr>
        <w:t>H and δ</w:t>
      </w:r>
      <w:r w:rsidRPr="00E01455">
        <w:rPr>
          <w:vertAlign w:val="superscript"/>
          <w:lang w:val="en-CA"/>
        </w:rPr>
        <w:t>18</w:t>
      </w:r>
      <w:r w:rsidRPr="00E01455">
        <w:rPr>
          <w:lang w:val="en-CA"/>
        </w:rPr>
        <w:t>O enrichments would be observed [</w:t>
      </w:r>
      <w:r w:rsidR="003573E8">
        <w:rPr>
          <w:lang w:val="en-CA"/>
        </w:rPr>
        <w:t>32</w:t>
      </w:r>
      <w:r w:rsidRPr="00E01455">
        <w:rPr>
          <w:lang w:val="en-CA"/>
        </w:rPr>
        <w:t>]. δ</w:t>
      </w:r>
      <w:r w:rsidRPr="00E01455">
        <w:rPr>
          <w:vertAlign w:val="superscript"/>
          <w:lang w:val="en-CA"/>
        </w:rPr>
        <w:t>2</w:t>
      </w:r>
      <w:r w:rsidRPr="00E01455">
        <w:rPr>
          <w:lang w:val="en-CA"/>
        </w:rPr>
        <w:t>H and δ</w:t>
      </w:r>
      <w:r w:rsidRPr="00E01455">
        <w:rPr>
          <w:vertAlign w:val="superscript"/>
          <w:lang w:val="en-CA"/>
        </w:rPr>
        <w:t>18</w:t>
      </w:r>
      <w:r w:rsidRPr="00E01455">
        <w:rPr>
          <w:lang w:val="en-CA"/>
        </w:rPr>
        <w:t>O compositions at each well appear not to vary with the depth (Except for two deepest samples of Abbotsford</w:t>
      </w:r>
      <w:r w:rsidR="00F039AD" w:rsidRPr="00F039AD">
        <w:rPr>
          <w:lang w:val="en-CA"/>
        </w:rPr>
        <w:t xml:space="preserve"> </w:t>
      </w:r>
      <w:r w:rsidRPr="00E01455">
        <w:rPr>
          <w:lang w:val="en-CA"/>
        </w:rPr>
        <w:t>PO5, Figure</w:t>
      </w:r>
      <w:r w:rsidR="00F039AD" w:rsidRPr="00F039AD">
        <w:rPr>
          <w:lang w:val="en-CA"/>
        </w:rPr>
        <w:t xml:space="preserve"> </w:t>
      </w:r>
      <w:r w:rsidRPr="00E01455">
        <w:rPr>
          <w:lang w:val="en-CA"/>
        </w:rPr>
        <w:t>15</w:t>
      </w:r>
      <w:r w:rsidR="00F039AD" w:rsidRPr="00F039AD">
        <w:rPr>
          <w:lang w:val="en-CA"/>
        </w:rPr>
        <w:t xml:space="preserve"> </w:t>
      </w:r>
      <w:r w:rsidRPr="00E01455">
        <w:rPr>
          <w:lang w:val="en-CA"/>
        </w:rPr>
        <w:t>b), but vary from one site to another, i.e., heavier isotope composition being observed for Mirabel, and a lighter composition for Abbotsford and St.</w:t>
      </w:r>
      <w:r w:rsidR="00F039AD" w:rsidRPr="00F039AD">
        <w:rPr>
          <w:lang w:val="en-CA"/>
        </w:rPr>
        <w:t xml:space="preserve"> </w:t>
      </w:r>
      <w:r w:rsidRPr="00E01455">
        <w:rPr>
          <w:lang w:val="en-CA"/>
        </w:rPr>
        <w:t>Lazare wellbores.</w:t>
      </w:r>
    </w:p>
    <w:p w14:paraId="10CC642D" w14:textId="6059CC73" w:rsidR="00BF6965" w:rsidRPr="00A6413F" w:rsidRDefault="00FE5916" w:rsidP="005E1CF3">
      <w:pPr>
        <w:pStyle w:val="MDPI52figure"/>
        <w:spacing w:after="240"/>
        <w:ind w:left="2268"/>
        <w:jc w:val="left"/>
        <w:rPr>
          <w:b/>
        </w:rPr>
      </w:pPr>
      <w:r w:rsidRPr="004F190C">
        <w:rPr>
          <w:b/>
          <w:noProof/>
        </w:rPr>
        <w:lastRenderedPageBreak/>
        <w:drawing>
          <wp:inline distT="0" distB="0" distL="0" distR="0" wp14:anchorId="729D0557" wp14:editId="6E482253">
            <wp:extent cx="5250180" cy="28422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0180" cy="2842260"/>
                    </a:xfrm>
                    <a:prstGeom prst="rect">
                      <a:avLst/>
                    </a:prstGeom>
                    <a:noFill/>
                    <a:ln>
                      <a:noFill/>
                    </a:ln>
                  </pic:spPr>
                </pic:pic>
              </a:graphicData>
            </a:graphic>
          </wp:inline>
        </w:drawing>
      </w:r>
    </w:p>
    <w:p w14:paraId="229C86F8" w14:textId="6108FA86" w:rsidR="00BF6965" w:rsidRPr="00A6413F" w:rsidRDefault="00F13448" w:rsidP="00F13448">
      <w:pPr>
        <w:pStyle w:val="MDPI51figurecaption"/>
        <w:jc w:val="both"/>
      </w:pPr>
      <w:r w:rsidRPr="00F13448">
        <w:rPr>
          <w:b/>
        </w:rPr>
        <w:t xml:space="preserve">Figure 15. </w:t>
      </w:r>
      <w:r w:rsidR="00E01455" w:rsidRPr="00A6413F">
        <w:t>(</w:t>
      </w:r>
      <w:r w:rsidR="00E01455" w:rsidRPr="00F3670E">
        <w:rPr>
          <w:b/>
          <w:bCs/>
        </w:rPr>
        <w:t>a</w:t>
      </w:r>
      <w:r w:rsidR="00E01455" w:rsidRPr="00A6413F">
        <w:t>) δ</w:t>
      </w:r>
      <w:r w:rsidR="00E01455" w:rsidRPr="00A6413F">
        <w:rPr>
          <w:vertAlign w:val="superscript"/>
        </w:rPr>
        <w:t>18</w:t>
      </w:r>
      <w:r w:rsidR="00E01455" w:rsidRPr="00A6413F">
        <w:t>O and δ</w:t>
      </w:r>
      <w:r w:rsidR="00E01455" w:rsidRPr="00A6413F">
        <w:rPr>
          <w:vertAlign w:val="superscript"/>
        </w:rPr>
        <w:t>2</w:t>
      </w:r>
      <w:r w:rsidR="00E01455" w:rsidRPr="00A6413F">
        <w:t>H compositions in groundwater and in local precipitation. (</w:t>
      </w:r>
      <w:r w:rsidR="00E01455" w:rsidRPr="00F3670E">
        <w:rPr>
          <w:b/>
          <w:bCs/>
        </w:rPr>
        <w:t>b</w:t>
      </w:r>
      <w:r w:rsidR="00E01455" w:rsidRPr="00A6413F">
        <w:t>) δ</w:t>
      </w:r>
      <w:r w:rsidR="00E01455" w:rsidRPr="00A6413F">
        <w:rPr>
          <w:vertAlign w:val="superscript"/>
        </w:rPr>
        <w:t>18</w:t>
      </w:r>
      <w:r w:rsidR="00E01455" w:rsidRPr="00A6413F">
        <w:t>O composition with the depth.</w:t>
      </w:r>
    </w:p>
    <w:p w14:paraId="7EC976B6" w14:textId="1498926E" w:rsidR="00986F3A" w:rsidRPr="00A6413F" w:rsidRDefault="00986F3A" w:rsidP="009A5666">
      <w:pPr>
        <w:pStyle w:val="MDPI21heading1"/>
        <w:rPr>
          <w:lang w:eastAsia="zh-CN"/>
        </w:rPr>
      </w:pPr>
      <w:r w:rsidRPr="00A6413F">
        <w:rPr>
          <w:lang w:eastAsia="zh-CN"/>
        </w:rPr>
        <w:t xml:space="preserve">5. </w:t>
      </w:r>
      <w:r w:rsidR="009A5666" w:rsidRPr="00A6413F">
        <w:rPr>
          <w:lang w:eastAsia="zh-CN"/>
        </w:rPr>
        <w:t>Discussion</w:t>
      </w:r>
      <w:r w:rsidR="001178EB">
        <w:rPr>
          <w:lang w:eastAsia="zh-CN"/>
        </w:rPr>
        <w:t>s</w:t>
      </w:r>
    </w:p>
    <w:p w14:paraId="11DC1543" w14:textId="1D4B5A7C" w:rsidR="00986F3A" w:rsidRPr="00413932" w:rsidRDefault="00413932" w:rsidP="00413932">
      <w:pPr>
        <w:pStyle w:val="MDPI22heading2"/>
      </w:pPr>
      <w:r w:rsidRPr="00413932">
        <w:t xml:space="preserve">5.1. </w:t>
      </w:r>
      <w:r w:rsidR="00986F3A" w:rsidRPr="00413932">
        <w:t xml:space="preserve">Representativeness of the </w:t>
      </w:r>
      <w:r w:rsidR="00D0592E" w:rsidRPr="00413932">
        <w:t>S</w:t>
      </w:r>
      <w:r w:rsidR="00986F3A" w:rsidRPr="00413932">
        <w:t xml:space="preserve">equential </w:t>
      </w:r>
      <w:r w:rsidR="00D0592E" w:rsidRPr="00413932">
        <w:t>S</w:t>
      </w:r>
      <w:r w:rsidR="00986F3A" w:rsidRPr="00413932">
        <w:t xml:space="preserve">ampling with </w:t>
      </w:r>
      <w:r w:rsidR="00D0592E" w:rsidRPr="00413932">
        <w:t>D</w:t>
      </w:r>
      <w:r w:rsidR="00986F3A" w:rsidRPr="00413932">
        <w:t xml:space="preserve">epth in </w:t>
      </w:r>
      <w:r w:rsidR="00D0592E" w:rsidRPr="00413932">
        <w:t>F</w:t>
      </w:r>
      <w:r w:rsidR="00986F3A" w:rsidRPr="00413932">
        <w:t xml:space="preserve">ractured </w:t>
      </w:r>
      <w:r w:rsidR="00D0592E" w:rsidRPr="00413932">
        <w:t>A</w:t>
      </w:r>
      <w:r w:rsidR="00986F3A" w:rsidRPr="00413932">
        <w:t>quifers</w:t>
      </w:r>
    </w:p>
    <w:p w14:paraId="4328699B" w14:textId="7D5E9D5A" w:rsidR="00986F3A" w:rsidRDefault="00986F3A" w:rsidP="00986F3A">
      <w:pPr>
        <w:pStyle w:val="MDPI31text"/>
      </w:pPr>
      <w:r>
        <w:t xml:space="preserve">All the wells investigated showed a heterogeneous distribution of fractures that are discrete and rather isolated (Figures 5 and 6). A frequent occurrence of </w:t>
      </w:r>
      <w:r w:rsidR="00556EBC">
        <w:t xml:space="preserve">multidirectional </w:t>
      </w:r>
      <w:r w:rsidR="00286FA1">
        <w:t xml:space="preserve">bypass </w:t>
      </w:r>
      <w:r>
        <w:t>flow</w:t>
      </w:r>
      <w:r w:rsidR="008E26C7">
        <w:t>s</w:t>
      </w:r>
      <w:r>
        <w:t xml:space="preserve"> within the wellbores is observed (Figures 5). Sampling these aquifers must therefore be preceded by borehole logging. Without such preliminary physical survey, criteria such as </w:t>
      </w:r>
      <w:r w:rsidR="00F039AD">
        <w:t>“</w:t>
      </w:r>
      <w:r>
        <w:t>sampling depth</w:t>
      </w:r>
      <w:r w:rsidR="00F039AD">
        <w:t>”</w:t>
      </w:r>
      <w:r>
        <w:t xml:space="preserve"> or </w:t>
      </w:r>
      <w:r w:rsidR="00F039AD">
        <w:t>“</w:t>
      </w:r>
      <w:r>
        <w:t>total well depth</w:t>
      </w:r>
      <w:r w:rsidR="00F039AD">
        <w:t>”</w:t>
      </w:r>
      <w:r>
        <w:t xml:space="preserve"> might become obsolete for any interpretation regarding the chemical stratification of groundwater. When the composition of water at each inflowing fracture is to be determined, flows into the well must be constrained during passive sampling (i.e., Chateauguay well example). The placement of the pump constraining the flows at intermediate depth into the wellbore is relevant for optimizing the resolution of the sequential sampling. Following the example of the Chateauguay well (Figure 6), the sampler placed at 25 m depth collects the composition of the fracture at 21 m, and the one at 47 m collects the composition of the fracture at 52 m. The compositions of samplers placed at the 37 and 41 m represent mixed water inflows, but only from two consecutive fractures.</w:t>
      </w:r>
    </w:p>
    <w:p w14:paraId="006836FB" w14:textId="45A5B5A7" w:rsidR="00986F3A" w:rsidRDefault="00986F3A" w:rsidP="00986F3A">
      <w:pPr>
        <w:pStyle w:val="MDPI31text"/>
      </w:pPr>
      <w:r>
        <w:t xml:space="preserve">In fractured aquifers, the quality of passive sampling is optimal when water flows are present in the water column, as the composition of the sampler represents the composition of the water column at the sampled depth. If the water column is stagnant, the composition of the sampler after </w:t>
      </w:r>
      <w:r w:rsidRPr="00A6413F">
        <w:t xml:space="preserve">equilibration is theoretically that of the mixture between the stagnant water in the vicinity of the sampler and the initial content of the sampler. It is difficult however to imagine a perfectly stagnant water column in a fractured aquifer or in each </w:t>
      </w:r>
      <w:r w:rsidR="00E46A63" w:rsidRPr="00A6413F">
        <w:t>long</w:t>
      </w:r>
      <w:r w:rsidR="002529A5">
        <w:t>–</w:t>
      </w:r>
      <w:r w:rsidR="00E46A63" w:rsidRPr="00A6413F">
        <w:t>screened</w:t>
      </w:r>
      <w:r w:rsidRPr="00A6413F">
        <w:t xml:space="preserve"> wellbore, because of the natural convection [4</w:t>
      </w:r>
      <w:r w:rsidR="003573E8">
        <w:t>6</w:t>
      </w:r>
      <w:r w:rsidRPr="00A6413F">
        <w:t xml:space="preserve">] induced by density difference (temperature and/or solute concentrations), or because of the widespread occurrence of very low but permanent ambient flows </w:t>
      </w:r>
      <w:r w:rsidR="00F039AD">
        <w:t>[22,23</w:t>
      </w:r>
      <w:r w:rsidRPr="00A6413F">
        <w:t>]. However, if we consider the mixture between the distilled water within the sampler (0.5</w:t>
      </w:r>
      <w:r w:rsidR="00F039AD" w:rsidRPr="00F039AD">
        <w:t xml:space="preserve"> </w:t>
      </w:r>
      <w:r w:rsidRPr="00A6413F">
        <w:t>L) with the stagnant groundwater corresponding to one meter of water column</w:t>
      </w:r>
      <w:r>
        <w:t xml:space="preserve"> (i.e., 17</w:t>
      </w:r>
      <w:r w:rsidR="00F039AD" w:rsidRPr="00F039AD">
        <w:t xml:space="preserve"> </w:t>
      </w:r>
      <w:r>
        <w:t>L for a 150</w:t>
      </w:r>
      <w:r w:rsidR="00F039AD" w:rsidRPr="00F039AD">
        <w:t xml:space="preserve"> </w:t>
      </w:r>
      <w:r>
        <w:t>mm diameter borehole), the dissolved species collected in the sampler would be impacted by a bias of 3% with respect to groundwater composition. Considering the high bypass flow rates observed in wells influenced by municipal pumping (Figure 5), it was not possible to constrain them with the stand</w:t>
      </w:r>
      <w:r w:rsidR="002529A5">
        <w:t>–</w:t>
      </w:r>
      <w:r>
        <w:t xml:space="preserve">alone pumping system. As it was also impossible to ensure </w:t>
      </w:r>
      <w:r>
        <w:lastRenderedPageBreak/>
        <w:t>that such existing flows would remain constant over time during sampling, the concentration at fractures were not deconvoluted.</w:t>
      </w:r>
    </w:p>
    <w:p w14:paraId="3911DC3A" w14:textId="0D825860" w:rsidR="00986F3A" w:rsidRPr="00413932" w:rsidRDefault="00413932" w:rsidP="00413932">
      <w:pPr>
        <w:pStyle w:val="MDPI22heading2"/>
        <w:spacing w:before="240"/>
      </w:pPr>
      <w:r w:rsidRPr="00413932">
        <w:t xml:space="preserve">5.2. </w:t>
      </w:r>
      <w:r w:rsidR="00986F3A" w:rsidRPr="00413932">
        <w:t xml:space="preserve">Sources of </w:t>
      </w:r>
      <w:r w:rsidR="00D0592E" w:rsidRPr="00413932">
        <w:t>G</w:t>
      </w:r>
      <w:r w:rsidR="00986F3A" w:rsidRPr="00413932">
        <w:t xml:space="preserve">roundwater </w:t>
      </w:r>
      <w:r w:rsidR="00D0592E" w:rsidRPr="00413932">
        <w:t>S</w:t>
      </w:r>
      <w:r w:rsidR="00986F3A" w:rsidRPr="00413932">
        <w:t xml:space="preserve">alinity and </w:t>
      </w:r>
      <w:r w:rsidR="00D0592E" w:rsidRPr="00413932">
        <w:t>R</w:t>
      </w:r>
      <w:r w:rsidR="00986F3A" w:rsidRPr="00413932">
        <w:t xml:space="preserve">espective </w:t>
      </w:r>
      <w:r w:rsidR="00D0592E" w:rsidRPr="00413932">
        <w:t>C</w:t>
      </w:r>
      <w:r w:rsidR="00986F3A" w:rsidRPr="00413932">
        <w:t>ontributions</w:t>
      </w:r>
    </w:p>
    <w:p w14:paraId="7D3A7AE1" w14:textId="5D48A7B6" w:rsidR="00986F3A" w:rsidRPr="00AA4B91" w:rsidRDefault="00AA4B91" w:rsidP="00AA4B91">
      <w:pPr>
        <w:pStyle w:val="MDPI23heading3"/>
      </w:pPr>
      <w:r w:rsidRPr="00AA4B91">
        <w:t xml:space="preserve">5.2.1. </w:t>
      </w:r>
      <w:proofErr w:type="spellStart"/>
      <w:r w:rsidR="00986F3A" w:rsidRPr="00AA4B91">
        <w:t>Calco</w:t>
      </w:r>
      <w:proofErr w:type="spellEnd"/>
      <w:r w:rsidR="002529A5" w:rsidRPr="00AA4B91">
        <w:t>–</w:t>
      </w:r>
      <w:r w:rsidR="00986F3A" w:rsidRPr="00AA4B91">
        <w:t xml:space="preserve">carbonic </w:t>
      </w:r>
      <w:r w:rsidR="00D0592E" w:rsidRPr="00AA4B91">
        <w:t>S</w:t>
      </w:r>
      <w:r w:rsidR="00986F3A" w:rsidRPr="00AA4B91">
        <w:t>ystems</w:t>
      </w:r>
    </w:p>
    <w:p w14:paraId="478901D9" w14:textId="5F942D3F" w:rsidR="00986F3A" w:rsidRPr="00A6413F" w:rsidRDefault="00986F3A" w:rsidP="00986F3A">
      <w:pPr>
        <w:pStyle w:val="MDPI31text"/>
      </w:pPr>
      <w:r>
        <w:t xml:space="preserve">When alkalinity </w:t>
      </w:r>
      <w:r w:rsidRPr="00A6413F">
        <w:t>dominates anionic mineralization (for St.</w:t>
      </w:r>
      <w:r w:rsidR="00F039AD" w:rsidRPr="00F039AD">
        <w:t xml:space="preserve"> </w:t>
      </w:r>
      <w:r w:rsidRPr="00A6413F">
        <w:t xml:space="preserve">Lazare, </w:t>
      </w:r>
      <w:proofErr w:type="spellStart"/>
      <w:r w:rsidRPr="00A6413F">
        <w:t>Hemmingford</w:t>
      </w:r>
      <w:proofErr w:type="spellEnd"/>
      <w:r w:rsidRPr="00A6413F">
        <w:t>, Chateauguay, Mirabel and at the shallowest sample of Abbo</w:t>
      </w:r>
      <w:r w:rsidR="00A455CF" w:rsidRPr="00A6413F">
        <w:t>ts</w:t>
      </w:r>
      <w:r w:rsidRPr="00A6413F">
        <w:t>ford</w:t>
      </w:r>
      <w:r w:rsidR="00F039AD" w:rsidRPr="00F039AD">
        <w:t xml:space="preserve"> </w:t>
      </w:r>
      <w:r w:rsidRPr="00A6413F">
        <w:t>PO7 wellbores, Figure 11), Ca</w:t>
      </w:r>
      <w:r w:rsidRPr="00A6413F">
        <w:rPr>
          <w:vertAlign w:val="superscript"/>
        </w:rPr>
        <w:t>2+</w:t>
      </w:r>
      <w:r w:rsidRPr="00A6413F">
        <w:t xml:space="preserve"> and Mg</w:t>
      </w:r>
      <w:r w:rsidRPr="00A6413F">
        <w:rPr>
          <w:vertAlign w:val="superscript"/>
        </w:rPr>
        <w:t>2+</w:t>
      </w:r>
      <w:r w:rsidRPr="00A6413F">
        <w:t xml:space="preserve"> originating from the dissolution of carbonates (calcite and dolomite, Equations 5</w:t>
      </w:r>
      <w:r w:rsidR="00413932">
        <w:t>.</w:t>
      </w:r>
      <w:r w:rsidRPr="00A6413F">
        <w:t xml:space="preserve"> and 6</w:t>
      </w:r>
      <w:r w:rsidR="00413932">
        <w:t>.</w:t>
      </w:r>
      <w:r w:rsidRPr="00A6413F">
        <w:t>) balance accurately with the alkalinity. This mineralization from carbonate weathering is comparable with the data gathered from regional studies conducted in the St. Lawrence Lowlands, which reports TDS ranging from 150 to 500</w:t>
      </w:r>
      <w:r w:rsidR="00F039AD" w:rsidRPr="00F039AD">
        <w:t xml:space="preserve"> </w:t>
      </w:r>
      <w:r w:rsidRPr="00A6413F">
        <w:t xml:space="preserve">mg/L </w:t>
      </w:r>
      <w:r w:rsidR="0058379A">
        <w:t>[11,14,47,48]</w:t>
      </w:r>
      <w:r w:rsidRPr="00A6413F">
        <w:t>. System openness to soil CO</w:t>
      </w:r>
      <w:r w:rsidRPr="00A6413F">
        <w:rPr>
          <w:vertAlign w:val="subscript"/>
        </w:rPr>
        <w:t>2</w:t>
      </w:r>
      <w:r w:rsidRPr="00A6413F">
        <w:t xml:space="preserve"> is discussed hereafter as it determines the </w:t>
      </w:r>
      <w:proofErr w:type="gramStart"/>
      <w:r w:rsidRPr="00A6413F">
        <w:t>amount</w:t>
      </w:r>
      <w:proofErr w:type="gramEnd"/>
      <w:r w:rsidRPr="00A6413F">
        <w:t xml:space="preserve"> of carbonates that can be ultimately weathered by the groundwater (Section 3.2). </w:t>
      </w:r>
      <w:bookmarkStart w:id="16" w:name="_Hlk75361080"/>
      <w:bookmarkStart w:id="17" w:name="_Hlk75331994"/>
      <w:r w:rsidRPr="00A6413F">
        <w:t>Given that depths to the water table are shallow for all sites but St.</w:t>
      </w:r>
      <w:r w:rsidR="00F039AD" w:rsidRPr="00F039AD">
        <w:t xml:space="preserve"> </w:t>
      </w:r>
      <w:r w:rsidRPr="00A6413F">
        <w:t>Lazare (i.e., from 1.4 to 4.5</w:t>
      </w:r>
      <w:r w:rsidR="00F039AD" w:rsidRPr="00F039AD">
        <w:t xml:space="preserve"> </w:t>
      </w:r>
      <w:r w:rsidRPr="00A6413F">
        <w:t xml:space="preserve">m, Figures 5 and 6), </w:t>
      </w:r>
      <w:r w:rsidR="00C83CD9">
        <w:t>residence times</w:t>
      </w:r>
      <w:r w:rsidRPr="00A6413F">
        <w:t xml:space="preserve"> through the unsaturated zones</w:t>
      </w:r>
      <w:r w:rsidR="008E4B80">
        <w:t xml:space="preserve"> </w:t>
      </w:r>
      <w:r w:rsidR="00C83CD9">
        <w:t xml:space="preserve">are </w:t>
      </w:r>
      <w:r w:rsidR="008E4B80">
        <w:t>likely</w:t>
      </w:r>
      <w:r w:rsidR="00C83CD9">
        <w:t xml:space="preserve"> short</w:t>
      </w:r>
      <w:bookmarkEnd w:id="16"/>
      <w:r w:rsidRPr="00A6413F">
        <w:t xml:space="preserve">. </w:t>
      </w:r>
      <w:bookmarkEnd w:id="17"/>
      <w:r w:rsidRPr="00A6413F">
        <w:t>At the contrary, St.</w:t>
      </w:r>
      <w:r w:rsidR="00F039AD" w:rsidRPr="00F039AD">
        <w:t xml:space="preserve"> </w:t>
      </w:r>
      <w:r w:rsidRPr="00A6413F">
        <w:t>Lazare unsaturated zone consists of a 27</w:t>
      </w:r>
      <w:r w:rsidR="00F039AD" w:rsidRPr="00F039AD">
        <w:t xml:space="preserve"> </w:t>
      </w:r>
      <w:r w:rsidRPr="00A6413F">
        <w:t>m thick sandy deposit that would imply more significant openness to soil CO</w:t>
      </w:r>
      <w:r w:rsidRPr="00A6413F">
        <w:rPr>
          <w:vertAlign w:val="subscript"/>
        </w:rPr>
        <w:t>2</w:t>
      </w:r>
      <w:r w:rsidRPr="00A6413F">
        <w:t xml:space="preserve"> before reaching the saturated zone. Except for Abbotsford</w:t>
      </w:r>
      <w:r w:rsidR="00F039AD" w:rsidRPr="00F039AD">
        <w:t xml:space="preserve"> </w:t>
      </w:r>
      <w:r w:rsidRPr="00A6413F">
        <w:t>PO5, all pCO</w:t>
      </w:r>
      <w:r w:rsidRPr="00A6413F">
        <w:rPr>
          <w:vertAlign w:val="subscript"/>
        </w:rPr>
        <w:t>2</w:t>
      </w:r>
      <w:r w:rsidRPr="00A6413F">
        <w:t xml:space="preserve"> are in the range expected from an evolution from soil pCO</w:t>
      </w:r>
      <w:r w:rsidRPr="00A6413F">
        <w:rPr>
          <w:vertAlign w:val="subscript"/>
        </w:rPr>
        <w:t>2</w:t>
      </w:r>
      <w:r w:rsidRPr="00A6413F">
        <w:t xml:space="preserve"> (&gt;&gt; atmospheric pCO</w:t>
      </w:r>
      <w:r w:rsidRPr="00A6413F">
        <w:rPr>
          <w:vertAlign w:val="subscript"/>
        </w:rPr>
        <w:t>2</w:t>
      </w:r>
      <w:r w:rsidRPr="00A6413F">
        <w:t>, Figure 14). System openness to soil CO</w:t>
      </w:r>
      <w:r w:rsidRPr="00A6413F">
        <w:rPr>
          <w:vertAlign w:val="subscript"/>
        </w:rPr>
        <w:t>2</w:t>
      </w:r>
      <w:r w:rsidRPr="00A6413F">
        <w:t xml:space="preserve"> for St. </w:t>
      </w:r>
      <w:proofErr w:type="spellStart"/>
      <w:r w:rsidRPr="00A6413F">
        <w:t>Roch</w:t>
      </w:r>
      <w:proofErr w:type="spellEnd"/>
      <w:r w:rsidRPr="00A6413F">
        <w:t xml:space="preserve"> and Mirabel appears greater compared to the other wellbores. pCO</w:t>
      </w:r>
      <w:r w:rsidRPr="00A6413F">
        <w:rPr>
          <w:vertAlign w:val="subscript"/>
        </w:rPr>
        <w:t>2</w:t>
      </w:r>
      <w:r w:rsidRPr="00A6413F">
        <w:t xml:space="preserve"> for these two sites are near or above the maximum expected for soils (i.e</w:t>
      </w:r>
      <w:r w:rsidRPr="00AA4B91">
        <w:t>.</w:t>
      </w:r>
      <w:r w:rsidR="00F039AD" w:rsidRPr="00AA4B91">
        <w:t>,</w:t>
      </w:r>
      <w:r w:rsidRPr="00AA4B91">
        <w:t xml:space="preserve"> 10</w:t>
      </w:r>
      <w:r w:rsidR="00F039AD" w:rsidRPr="00AA4B91">
        <w:rPr>
          <w:vertAlign w:val="superscript"/>
        </w:rPr>
        <w:t>−1</w:t>
      </w:r>
      <w:r w:rsidRPr="00AA4B91">
        <w:rPr>
          <w:vertAlign w:val="superscript"/>
        </w:rPr>
        <w:t>.5</w:t>
      </w:r>
      <w:r w:rsidRPr="00A6413F">
        <w:t xml:space="preserve"> for humid organic</w:t>
      </w:r>
      <w:r w:rsidR="002529A5">
        <w:t>–</w:t>
      </w:r>
      <w:r w:rsidRPr="00A6413F">
        <w:t>rich soils, Figure 13), have rather acidic pH and highest elevated DIC (Figure 13). The latter suggesting for these two sites great openness towards soil CO</w:t>
      </w:r>
      <w:r w:rsidRPr="00A6413F">
        <w:rPr>
          <w:vertAlign w:val="subscript"/>
        </w:rPr>
        <w:t>2</w:t>
      </w:r>
      <w:r w:rsidRPr="00A6413F">
        <w:t>, even acquired within thin unsaturated zones (depths to the water table &lt;3.5</w:t>
      </w:r>
      <w:r w:rsidR="00F039AD" w:rsidRPr="00F039AD">
        <w:t xml:space="preserve"> </w:t>
      </w:r>
      <w:r w:rsidRPr="00A6413F">
        <w:t>m, Figure 5), likely followed by limited and short evolution in closed system conditions within the saturated zone as calcite saturation is not even reached (Figures 13 and 14). System openness for Abbotsford</w:t>
      </w:r>
      <w:r w:rsidR="00F039AD" w:rsidRPr="00F039AD">
        <w:t xml:space="preserve"> </w:t>
      </w:r>
      <w:r w:rsidRPr="00A6413F">
        <w:t>PO5 appears the weakest of all samples since it has the lowest pCO</w:t>
      </w:r>
      <w:r w:rsidRPr="00A6413F">
        <w:rPr>
          <w:vertAlign w:val="subscript"/>
        </w:rPr>
        <w:t>2</w:t>
      </w:r>
      <w:r w:rsidRPr="00A6413F">
        <w:t>, suggesting that groundwater for Abbotsford</w:t>
      </w:r>
      <w:r w:rsidR="00F039AD" w:rsidRPr="00F039AD">
        <w:t xml:space="preserve"> </w:t>
      </w:r>
      <w:r w:rsidRPr="00A6413F">
        <w:t xml:space="preserve">PO5 has more strongly evolved in closed system condition </w:t>
      </w:r>
      <w:r w:rsidR="006538CE" w:rsidRPr="00A6413F">
        <w:t xml:space="preserve">(within the </w:t>
      </w:r>
      <w:r w:rsidRPr="00A6413F">
        <w:t>saturated zone</w:t>
      </w:r>
      <w:r w:rsidR="006538CE" w:rsidRPr="00A6413F">
        <w:t>)</w:t>
      </w:r>
      <w:r w:rsidRPr="00A6413F">
        <w:t>, and/or that pCO</w:t>
      </w:r>
      <w:r w:rsidRPr="00A6413F">
        <w:rPr>
          <w:vertAlign w:val="subscript"/>
        </w:rPr>
        <w:t>2</w:t>
      </w:r>
      <w:r w:rsidRPr="00A6413F">
        <w:t xml:space="preserve"> inherited </w:t>
      </w:r>
      <w:r w:rsidR="006538CE" w:rsidRPr="00A6413F">
        <w:t>from</w:t>
      </w:r>
      <w:r w:rsidRPr="00A6413F">
        <w:t xml:space="preserve"> the recharge </w:t>
      </w:r>
      <w:r w:rsidR="006538CE" w:rsidRPr="00A6413F">
        <w:t xml:space="preserve">conditions </w:t>
      </w:r>
      <w:r w:rsidRPr="00A6413F">
        <w:t>may have been much lower compared to other sites. The pCO</w:t>
      </w:r>
      <w:r w:rsidRPr="00A6413F">
        <w:rPr>
          <w:vertAlign w:val="subscript"/>
        </w:rPr>
        <w:t>2</w:t>
      </w:r>
      <w:r w:rsidRPr="00A6413F">
        <w:t xml:space="preserve"> (Figure 13), alkalinity, Ca</w:t>
      </w:r>
      <w:r w:rsidRPr="00A6413F">
        <w:rPr>
          <w:vertAlign w:val="superscript"/>
        </w:rPr>
        <w:t>2+</w:t>
      </w:r>
      <w:r w:rsidRPr="00A6413F">
        <w:t xml:space="preserve"> and Mg</w:t>
      </w:r>
      <w:r w:rsidRPr="00A6413F">
        <w:rPr>
          <w:vertAlign w:val="superscript"/>
        </w:rPr>
        <w:t>2+</w:t>
      </w:r>
      <w:r w:rsidRPr="00A6413F">
        <w:t xml:space="preserve"> concentrations (Figure 11) as well as the saturation towards calcite (Figure 13 and 14) resulting from carbonate weathering vary little with the depth but are different from one well to another, thus depending on each site</w:t>
      </w:r>
      <w:r w:rsidR="002529A5">
        <w:t>–</w:t>
      </w:r>
      <w:r w:rsidRPr="00A6413F">
        <w:t>specific openness to soil CO</w:t>
      </w:r>
      <w:r w:rsidRPr="00A6413F">
        <w:rPr>
          <w:vertAlign w:val="subscript"/>
        </w:rPr>
        <w:t>2</w:t>
      </w:r>
      <w:r w:rsidRPr="00A6413F">
        <w:t xml:space="preserve">. Since no difference is observed at depth for each wellbore, the </w:t>
      </w:r>
      <w:proofErr w:type="spellStart"/>
      <w:r w:rsidRPr="00A6413F">
        <w:t>calco</w:t>
      </w:r>
      <w:proofErr w:type="spellEnd"/>
      <w:r w:rsidR="002529A5">
        <w:t>–</w:t>
      </w:r>
      <w:r w:rsidRPr="00A6413F">
        <w:t xml:space="preserve">carbonic mineralization would be reached rapidly by water percolating within the unsaturated zone and/or within the first few meters of the saturated zone, as also reported by </w:t>
      </w:r>
      <w:r w:rsidR="00F039AD">
        <w:t>[31,49</w:t>
      </w:r>
      <w:r w:rsidRPr="00A6413F">
        <w:t>].</w:t>
      </w:r>
    </w:p>
    <w:p w14:paraId="6E18C243" w14:textId="1813D9A7" w:rsidR="00986F3A" w:rsidRPr="00AA4B91" w:rsidRDefault="00AA4B91" w:rsidP="00AA4B91">
      <w:pPr>
        <w:pStyle w:val="MDPI23heading3"/>
        <w:spacing w:before="240"/>
      </w:pPr>
      <w:r w:rsidRPr="00AA4B91">
        <w:t xml:space="preserve">5.2.2. </w:t>
      </w:r>
      <w:r w:rsidR="00986F3A" w:rsidRPr="00AA4B91">
        <w:t>Mineralization from SO</w:t>
      </w:r>
      <w:r w:rsidR="00986F3A" w:rsidRPr="00AA4B91">
        <w:rPr>
          <w:vertAlign w:val="subscript"/>
        </w:rPr>
        <w:t>4</w:t>
      </w:r>
      <w:r w:rsidR="00986F3A" w:rsidRPr="00AA4B91">
        <w:rPr>
          <w:vertAlign w:val="superscript"/>
        </w:rPr>
        <w:t>2</w:t>
      </w:r>
      <w:r w:rsidR="002529A5" w:rsidRPr="00AA4B91">
        <w:rPr>
          <w:vertAlign w:val="superscript"/>
        </w:rPr>
        <w:t>–</w:t>
      </w:r>
      <w:r w:rsidR="00986F3A" w:rsidRPr="00AA4B91">
        <w:t xml:space="preserve"> </w:t>
      </w:r>
      <w:r w:rsidR="00DF0FC0">
        <w:t>I</w:t>
      </w:r>
      <w:r w:rsidR="00986F3A" w:rsidRPr="00AA4B91">
        <w:t>nputs</w:t>
      </w:r>
    </w:p>
    <w:p w14:paraId="46E17BC7" w14:textId="60F24EC4" w:rsidR="006B62EB" w:rsidRDefault="00986F3A" w:rsidP="00986F3A">
      <w:pPr>
        <w:pStyle w:val="MDPI31text"/>
      </w:pPr>
      <w:bookmarkStart w:id="18" w:name="_Hlk75474706"/>
      <w:r w:rsidRPr="00A6413F">
        <w:t>When SO</w:t>
      </w:r>
      <w:r w:rsidRPr="00A6413F">
        <w:rPr>
          <w:vertAlign w:val="subscript"/>
        </w:rPr>
        <w:t>4</w:t>
      </w:r>
      <w:r w:rsidRPr="00A6413F">
        <w:rPr>
          <w:vertAlign w:val="superscript"/>
        </w:rPr>
        <w:t>2</w:t>
      </w:r>
      <w:r w:rsidR="002529A5">
        <w:rPr>
          <w:vertAlign w:val="superscript"/>
        </w:rPr>
        <w:t>–</w:t>
      </w:r>
      <w:r w:rsidRPr="00A6413F">
        <w:t xml:space="preserve"> dominates the anionic composition, high concentrations for Ca</w:t>
      </w:r>
      <w:r w:rsidRPr="00A6413F">
        <w:rPr>
          <w:vertAlign w:val="superscript"/>
        </w:rPr>
        <w:t>2+</w:t>
      </w:r>
      <w:r w:rsidRPr="00A6413F">
        <w:t xml:space="preserve"> and Mg</w:t>
      </w:r>
      <w:r w:rsidRPr="00A6413F">
        <w:rPr>
          <w:vertAlign w:val="superscript"/>
        </w:rPr>
        <w:t>2+</w:t>
      </w:r>
      <w:r w:rsidRPr="00A6413F">
        <w:t xml:space="preserve"> are likely </w:t>
      </w:r>
      <w:r w:rsidR="00CE1C60">
        <w:t xml:space="preserve">associated with </w:t>
      </w:r>
      <w:r w:rsidR="00927459" w:rsidRPr="00927459">
        <w:t xml:space="preserve">slow dissolution </w:t>
      </w:r>
      <w:r w:rsidR="00927459">
        <w:t xml:space="preserve">of carbonates still containing </w:t>
      </w:r>
      <w:r w:rsidR="00927459" w:rsidRPr="00927459">
        <w:t>residual evaporite salt</w:t>
      </w:r>
      <w:r w:rsidR="00C7138F">
        <w:t>s</w:t>
      </w:r>
      <w:r w:rsidRPr="00A6413F">
        <w:t>, or presence of brackish waters derived from evaporite dissolution in low</w:t>
      </w:r>
      <w:r w:rsidR="002529A5">
        <w:t>–</w:t>
      </w:r>
      <w:r w:rsidRPr="00A6413F">
        <w:t xml:space="preserve">permeable and stagnant zones of the aquifer. </w:t>
      </w:r>
      <w:r w:rsidR="00927459">
        <w:t>Given work previously published</w:t>
      </w:r>
      <w:r w:rsidR="00A97B6C">
        <w:t xml:space="preserve"> in the region </w:t>
      </w:r>
      <w:r w:rsidR="008D7E1D">
        <w:t>that reported</w:t>
      </w:r>
      <w:r w:rsidR="00A97B6C">
        <w:t xml:space="preserve"> low concentration of </w:t>
      </w:r>
      <w:r w:rsidR="00A97B6C" w:rsidRPr="00A6413F">
        <w:t>SO</w:t>
      </w:r>
      <w:r w:rsidR="00A97B6C" w:rsidRPr="00A6413F">
        <w:rPr>
          <w:vertAlign w:val="subscript"/>
        </w:rPr>
        <w:t>4</w:t>
      </w:r>
      <w:r w:rsidR="00A97B6C" w:rsidRPr="00A6413F">
        <w:rPr>
          <w:vertAlign w:val="superscript"/>
        </w:rPr>
        <w:t>2</w:t>
      </w:r>
      <w:r w:rsidR="002529A5">
        <w:rPr>
          <w:vertAlign w:val="superscript"/>
        </w:rPr>
        <w:t>–</w:t>
      </w:r>
      <w:r w:rsidR="00A97B6C" w:rsidRPr="00A6413F">
        <w:t xml:space="preserve"> </w:t>
      </w:r>
      <w:r w:rsidR="00A97B6C">
        <w:t>in deep brines [</w:t>
      </w:r>
      <w:r w:rsidR="008D7E1D">
        <w:t>50</w:t>
      </w:r>
      <w:r w:rsidR="00A97B6C">
        <w:t>], d</w:t>
      </w:r>
      <w:r w:rsidR="00927459">
        <w:t xml:space="preserve">iffusion of </w:t>
      </w:r>
      <w:r w:rsidR="00927459" w:rsidRPr="00A6413F">
        <w:t>SO</w:t>
      </w:r>
      <w:r w:rsidR="00927459" w:rsidRPr="00A6413F">
        <w:rPr>
          <w:vertAlign w:val="subscript"/>
        </w:rPr>
        <w:t>4</w:t>
      </w:r>
      <w:r w:rsidR="00927459" w:rsidRPr="00A6413F">
        <w:rPr>
          <w:vertAlign w:val="superscript"/>
        </w:rPr>
        <w:t>2</w:t>
      </w:r>
      <w:r w:rsidR="002529A5">
        <w:rPr>
          <w:vertAlign w:val="superscript"/>
        </w:rPr>
        <w:t>–</w:t>
      </w:r>
      <w:r w:rsidR="00927459">
        <w:rPr>
          <w:vertAlign w:val="superscript"/>
        </w:rPr>
        <w:t xml:space="preserve"> </w:t>
      </w:r>
      <w:r w:rsidR="00927459" w:rsidRPr="00927459">
        <w:t>from de</w:t>
      </w:r>
      <w:r w:rsidR="00927459">
        <w:t>e</w:t>
      </w:r>
      <w:r w:rsidR="00927459" w:rsidRPr="00927459">
        <w:t>p</w:t>
      </w:r>
      <w:r w:rsidR="002529A5">
        <w:t>–</w:t>
      </w:r>
      <w:r w:rsidR="00927459" w:rsidRPr="00927459">
        <w:t>seated sedimentary u</w:t>
      </w:r>
      <w:r w:rsidR="00927459">
        <w:t>n</w:t>
      </w:r>
      <w:r w:rsidR="00927459" w:rsidRPr="00927459">
        <w:t xml:space="preserve">its is </w:t>
      </w:r>
      <w:r w:rsidR="00A97B6C">
        <w:t xml:space="preserve">unlikely. </w:t>
      </w:r>
      <w:bookmarkEnd w:id="18"/>
      <w:r w:rsidRPr="00A6413F">
        <w:t>Sulphate</w:t>
      </w:r>
      <w:r w:rsidR="002529A5">
        <w:t>–</w:t>
      </w:r>
      <w:r w:rsidRPr="00A6413F">
        <w:t>rich evaporites may consist of gypsum (Ca</w:t>
      </w:r>
      <w:r w:rsidR="002529A5">
        <w:t>–</w:t>
      </w:r>
      <w:r w:rsidRPr="00A6413F">
        <w:t>SO</w:t>
      </w:r>
      <w:r w:rsidRPr="00A6413F">
        <w:rPr>
          <w:vertAlign w:val="subscript"/>
        </w:rPr>
        <w:t>4</w:t>
      </w:r>
      <w:r w:rsidRPr="00A6413F">
        <w:t>) and epsomite (Mg</w:t>
      </w:r>
      <w:r w:rsidR="002529A5">
        <w:t>–</w:t>
      </w:r>
      <w:r w:rsidRPr="00A6413F">
        <w:t>SO</w:t>
      </w:r>
      <w:r w:rsidRPr="00A6413F">
        <w:rPr>
          <w:vertAlign w:val="subscript"/>
        </w:rPr>
        <w:t>4</w:t>
      </w:r>
      <w:r w:rsidRPr="00A6413F">
        <w:t>) [</w:t>
      </w:r>
      <w:r w:rsidR="003573E8">
        <w:t>5</w:t>
      </w:r>
      <w:r w:rsidR="008D7E1D">
        <w:t>1</w:t>
      </w:r>
      <w:r w:rsidRPr="00A6413F">
        <w:t>], respectively</w:t>
      </w:r>
      <w:r w:rsidR="00CE1C60">
        <w:t>,</w:t>
      </w:r>
      <w:r w:rsidRPr="00A6413F">
        <w:t xml:space="preserve"> responsible for </w:t>
      </w:r>
      <w:r w:rsidR="00B86926" w:rsidRPr="00A6413F">
        <w:t>Ca</w:t>
      </w:r>
      <w:r w:rsidR="00B86926" w:rsidRPr="00A6413F">
        <w:rPr>
          <w:vertAlign w:val="superscript"/>
        </w:rPr>
        <w:t>2+</w:t>
      </w:r>
      <w:r w:rsidR="00B86926" w:rsidRPr="00A6413F">
        <w:t xml:space="preserve"> and Mg</w:t>
      </w:r>
      <w:r w:rsidR="00B86926" w:rsidRPr="00A6413F">
        <w:rPr>
          <w:vertAlign w:val="superscript"/>
        </w:rPr>
        <w:t>2+</w:t>
      </w:r>
      <w:r w:rsidR="00B86926" w:rsidRPr="00A6413F">
        <w:t xml:space="preserve"> </w:t>
      </w:r>
      <w:r w:rsidRPr="00A6413F">
        <w:t xml:space="preserve">occurrence in groundwater. The highest </w:t>
      </w:r>
      <w:r w:rsidR="00B86926" w:rsidRPr="00A6413F">
        <w:t>SO</w:t>
      </w:r>
      <w:r w:rsidR="00B86926" w:rsidRPr="00A6413F">
        <w:rPr>
          <w:vertAlign w:val="subscript"/>
        </w:rPr>
        <w:t>4</w:t>
      </w:r>
      <w:r w:rsidR="00B86926" w:rsidRPr="00A6413F">
        <w:rPr>
          <w:vertAlign w:val="superscript"/>
        </w:rPr>
        <w:t>2</w:t>
      </w:r>
      <w:r w:rsidR="002529A5">
        <w:rPr>
          <w:vertAlign w:val="superscript"/>
        </w:rPr>
        <w:t>–</w:t>
      </w:r>
      <w:r w:rsidRPr="00A6413F">
        <w:t>concentrations are found in Napierville</w:t>
      </w:r>
      <w:r w:rsidR="00F039AD" w:rsidRPr="00F039AD">
        <w:t xml:space="preserve"> </w:t>
      </w:r>
      <w:r w:rsidRPr="00A6413F">
        <w:t>P6 well, where they represent more than 80% of the anionic salinity, two third of them being attributed to Ca</w:t>
      </w:r>
      <w:r w:rsidR="002529A5">
        <w:t>–</w:t>
      </w:r>
      <w:r w:rsidRPr="00A6413F">
        <w:t>SO</w:t>
      </w:r>
      <w:r w:rsidRPr="00A6413F">
        <w:rPr>
          <w:vertAlign w:val="subscript"/>
        </w:rPr>
        <w:t>4</w:t>
      </w:r>
      <w:r w:rsidRPr="00A6413F">
        <w:t xml:space="preserve"> and one third to Mg</w:t>
      </w:r>
      <w:r w:rsidR="002529A5">
        <w:t>–</w:t>
      </w:r>
      <w:r w:rsidRPr="00A6413F">
        <w:t>SO</w:t>
      </w:r>
      <w:r w:rsidRPr="00A6413F">
        <w:rPr>
          <w:vertAlign w:val="subscript"/>
        </w:rPr>
        <w:t>4</w:t>
      </w:r>
      <w:r w:rsidRPr="00A6413F">
        <w:t xml:space="preserve"> (Figure 11). Napierville waters are reaching TDS of 1500 to 2000 mg/L due to </w:t>
      </w:r>
      <w:r w:rsidR="00B86926" w:rsidRPr="00A6413F">
        <w:t>SO</w:t>
      </w:r>
      <w:r w:rsidR="00B86926" w:rsidRPr="00A6413F">
        <w:rPr>
          <w:vertAlign w:val="subscript"/>
        </w:rPr>
        <w:t>4</w:t>
      </w:r>
      <w:r w:rsidR="00B86926" w:rsidRPr="00A6413F">
        <w:rPr>
          <w:vertAlign w:val="superscript"/>
        </w:rPr>
        <w:t>2</w:t>
      </w:r>
      <w:r w:rsidR="002529A5">
        <w:rPr>
          <w:vertAlign w:val="superscript"/>
        </w:rPr>
        <w:t>–</w:t>
      </w:r>
      <w:r w:rsidRPr="00A6413F">
        <w:t xml:space="preserve"> inputs. Ca</w:t>
      </w:r>
      <w:r w:rsidR="002529A5">
        <w:t>–</w:t>
      </w:r>
      <w:r w:rsidRPr="00A6413F">
        <w:t>SO</w:t>
      </w:r>
      <w:r w:rsidRPr="00A6413F">
        <w:rPr>
          <w:vertAlign w:val="subscript"/>
        </w:rPr>
        <w:t>4</w:t>
      </w:r>
      <w:r w:rsidRPr="00A6413F">
        <w:t xml:space="preserve"> waters were reported in the regional studies within the St. Lawrence Lowlands, being sparsely present for some sites but not exceeding TDS of 500 mg/L </w:t>
      </w:r>
      <w:r w:rsidR="00F039AD">
        <w:t>[11,14</w:t>
      </w:r>
      <w:r w:rsidRPr="00A6413F">
        <w:t>], or reporting similar TDS as high as of 1000 to 1800 mg/L for few samples in dolomitic aquifers [4</w:t>
      </w:r>
      <w:r w:rsidR="003573E8">
        <w:t>7</w:t>
      </w:r>
      <w:r w:rsidRPr="00A6413F">
        <w:t xml:space="preserve">]. The origin of </w:t>
      </w:r>
      <w:r w:rsidR="00B86926" w:rsidRPr="00A6413F">
        <w:t>SO</w:t>
      </w:r>
      <w:r w:rsidR="00B86926" w:rsidRPr="00A6413F">
        <w:rPr>
          <w:vertAlign w:val="subscript"/>
        </w:rPr>
        <w:t>4</w:t>
      </w:r>
      <w:r w:rsidR="00B86926" w:rsidRPr="00A6413F">
        <w:rPr>
          <w:vertAlign w:val="superscript"/>
        </w:rPr>
        <w:t>2</w:t>
      </w:r>
      <w:r w:rsidR="002529A5">
        <w:rPr>
          <w:vertAlign w:val="superscript"/>
        </w:rPr>
        <w:t>–</w:t>
      </w:r>
      <w:r w:rsidRPr="00A6413F">
        <w:t xml:space="preserve"> in the Napierville </w:t>
      </w:r>
      <w:r w:rsidRPr="00A6413F">
        <w:lastRenderedPageBreak/>
        <w:t xml:space="preserve">groundwater would be natural, as no anthropogenic sources of </w:t>
      </w:r>
      <w:r w:rsidR="00B86926" w:rsidRPr="00A6413F">
        <w:t>SO</w:t>
      </w:r>
      <w:r w:rsidR="00B86926" w:rsidRPr="00A6413F">
        <w:rPr>
          <w:vertAlign w:val="subscript"/>
        </w:rPr>
        <w:t>4</w:t>
      </w:r>
      <w:r w:rsidR="00B86926" w:rsidRPr="00A6413F">
        <w:rPr>
          <w:vertAlign w:val="superscript"/>
        </w:rPr>
        <w:t>2</w:t>
      </w:r>
      <w:r w:rsidR="002529A5">
        <w:rPr>
          <w:vertAlign w:val="superscript"/>
        </w:rPr>
        <w:t>–</w:t>
      </w:r>
      <w:r w:rsidRPr="00A6413F">
        <w:t xml:space="preserve"> were identified in the area.</w:t>
      </w:r>
    </w:p>
    <w:p w14:paraId="53564973" w14:textId="2C7DB8FA" w:rsidR="00986F3A" w:rsidRPr="00AA4B91" w:rsidRDefault="00AA4B91" w:rsidP="00AA4B91">
      <w:pPr>
        <w:pStyle w:val="MDPI23heading3"/>
        <w:spacing w:before="240"/>
      </w:pPr>
      <w:r w:rsidRPr="00AA4B91">
        <w:t xml:space="preserve">5.2.3. </w:t>
      </w:r>
      <w:r w:rsidR="00986F3A" w:rsidRPr="00AA4B91">
        <w:t>Mineralization from Cl</w:t>
      </w:r>
      <w:r w:rsidR="002529A5" w:rsidRPr="00AA4B91">
        <w:rPr>
          <w:vertAlign w:val="superscript"/>
        </w:rPr>
        <w:t>–</w:t>
      </w:r>
      <w:r w:rsidR="00986F3A" w:rsidRPr="00AA4B91">
        <w:t xml:space="preserve"> </w:t>
      </w:r>
      <w:r w:rsidR="00DF0FC0">
        <w:t>I</w:t>
      </w:r>
      <w:r w:rsidR="00986F3A" w:rsidRPr="00AA4B91">
        <w:t>nputs</w:t>
      </w:r>
    </w:p>
    <w:p w14:paraId="304C978C" w14:textId="7D092B0A" w:rsidR="00986F3A" w:rsidRDefault="00986F3A" w:rsidP="00986F3A">
      <w:pPr>
        <w:pStyle w:val="MDPI31text"/>
      </w:pPr>
      <w:r>
        <w:t xml:space="preserve">The other main source of salinity is </w:t>
      </w:r>
      <w:r w:rsidR="00CE1C60">
        <w:t xml:space="preserve">associated with </w:t>
      </w:r>
      <w:proofErr w:type="spellStart"/>
      <w:proofErr w:type="gramStart"/>
      <w:r>
        <w:t>Ca,Mg</w:t>
      </w:r>
      <w:proofErr w:type="gramEnd"/>
      <w:r>
        <w:t>,Na</w:t>
      </w:r>
      <w:proofErr w:type="spellEnd"/>
      <w:r w:rsidR="002529A5">
        <w:t>–</w:t>
      </w:r>
      <w:r>
        <w:t xml:space="preserve">Cl, referred hereafter as “chloride salts”. Regional studies </w:t>
      </w:r>
      <w:r w:rsidR="00F039AD">
        <w:t>[11,14</w:t>
      </w:r>
      <w:r>
        <w:t>] reported the presence of brackish waters, with salinity exceeding 500</w:t>
      </w:r>
      <w:r w:rsidR="00F039AD" w:rsidRPr="00F039AD">
        <w:t xml:space="preserve"> </w:t>
      </w:r>
      <w:r>
        <w:t>mg/L and reaching as much as 2</w:t>
      </w:r>
      <w:r w:rsidR="00F039AD" w:rsidRPr="00F039AD">
        <w:t xml:space="preserve"> </w:t>
      </w:r>
      <w:r>
        <w:t>500</w:t>
      </w:r>
      <w:r w:rsidR="00F039AD" w:rsidRPr="00F039AD">
        <w:t xml:space="preserve"> </w:t>
      </w:r>
      <w:r>
        <w:t xml:space="preserve">mg/L and sourced by the </w:t>
      </w:r>
      <w:proofErr w:type="gramStart"/>
      <w:r>
        <w:t>Champlain sea</w:t>
      </w:r>
      <w:proofErr w:type="gramEnd"/>
      <w:r>
        <w:t xml:space="preserve"> invasion. Groundwater collected in this work having dominant Cl</w:t>
      </w:r>
      <w:r w:rsidR="002529A5">
        <w:t>–</w:t>
      </w:r>
      <w:r>
        <w:t xml:space="preserve"> inputs exceeding 500</w:t>
      </w:r>
      <w:r w:rsidR="00F039AD" w:rsidRPr="00F039AD">
        <w:t xml:space="preserve"> </w:t>
      </w:r>
      <w:r>
        <w:t>mg/L, with a maximum of 1</w:t>
      </w:r>
      <w:r w:rsidR="00F039AD" w:rsidRPr="00F039AD">
        <w:t xml:space="preserve"> </w:t>
      </w:r>
      <w:r w:rsidRPr="00A6413F">
        <w:t>800</w:t>
      </w:r>
      <w:r w:rsidR="00F039AD" w:rsidRPr="00F039AD">
        <w:t xml:space="preserve"> </w:t>
      </w:r>
      <w:r w:rsidRPr="00A6413F">
        <w:t>mg/L are found in the Abbotsford</w:t>
      </w:r>
      <w:r w:rsidR="00F039AD" w:rsidRPr="00F039AD">
        <w:t xml:space="preserve"> </w:t>
      </w:r>
      <w:r w:rsidRPr="00A6413F">
        <w:t>PO5 well at 95</w:t>
      </w:r>
      <w:r w:rsidR="00F039AD" w:rsidRPr="00F039AD">
        <w:t xml:space="preserve"> </w:t>
      </w:r>
      <w:r w:rsidRPr="00A6413F">
        <w:t>m depth. When Cl</w:t>
      </w:r>
      <w:r w:rsidR="002529A5">
        <w:rPr>
          <w:vertAlign w:val="superscript"/>
        </w:rPr>
        <w:t>–</w:t>
      </w:r>
      <w:r w:rsidRPr="00A6413F">
        <w:t xml:space="preserve"> is the domina</w:t>
      </w:r>
      <w:r w:rsidRPr="00A6413F">
        <w:rPr>
          <w:rFonts w:hint="eastAsia"/>
        </w:rPr>
        <w:t>nt anion, molar Na/Cl ratios are as low as 0.28 and 0.52 for St.</w:t>
      </w:r>
      <w:r w:rsidR="00F039AD" w:rsidRPr="00F039AD">
        <w:t xml:space="preserve"> </w:t>
      </w:r>
      <w:proofErr w:type="spellStart"/>
      <w:r w:rsidRPr="00A6413F">
        <w:rPr>
          <w:rFonts w:hint="eastAsia"/>
        </w:rPr>
        <w:t>Roch</w:t>
      </w:r>
      <w:proofErr w:type="spellEnd"/>
      <w:r w:rsidR="002529A5">
        <w:rPr>
          <w:rFonts w:hint="eastAsia"/>
        </w:rPr>
        <w:t>–</w:t>
      </w:r>
      <w:r w:rsidRPr="00A6413F">
        <w:rPr>
          <w:rFonts w:hint="eastAsia"/>
        </w:rPr>
        <w:t>71</w:t>
      </w:r>
      <w:r w:rsidR="00F039AD" w:rsidRPr="00F039AD">
        <w:t xml:space="preserve"> </w:t>
      </w:r>
      <w:r w:rsidRPr="00A6413F">
        <w:rPr>
          <w:rFonts w:hint="eastAsia"/>
        </w:rPr>
        <w:t>m and Napierville</w:t>
      </w:r>
      <w:r w:rsidR="00F039AD" w:rsidRPr="00F039AD">
        <w:t xml:space="preserve"> </w:t>
      </w:r>
      <w:r w:rsidRPr="00A6413F">
        <w:rPr>
          <w:rFonts w:hint="eastAsia"/>
        </w:rPr>
        <w:t>P6</w:t>
      </w:r>
      <w:r w:rsidR="002529A5">
        <w:rPr>
          <w:rFonts w:hint="eastAsia"/>
        </w:rPr>
        <w:t>–</w:t>
      </w:r>
      <w:r w:rsidRPr="00A6413F">
        <w:rPr>
          <w:rFonts w:hint="eastAsia"/>
        </w:rPr>
        <w:t>95</w:t>
      </w:r>
      <w:r w:rsidR="00F039AD" w:rsidRPr="00F039AD">
        <w:t xml:space="preserve"> </w:t>
      </w:r>
      <w:r w:rsidR="00CE1C60" w:rsidRPr="00A6413F">
        <w:rPr>
          <w:rFonts w:hint="eastAsia"/>
        </w:rPr>
        <w:t>m</w:t>
      </w:r>
      <w:r w:rsidR="00CE1C60" w:rsidRPr="00CE1C60">
        <w:rPr>
          <w:rFonts w:hint="eastAsia"/>
        </w:rPr>
        <w:t>, respectively</w:t>
      </w:r>
      <w:r w:rsidRPr="00A6413F">
        <w:rPr>
          <w:rFonts w:hint="eastAsia"/>
        </w:rPr>
        <w:t>, implying that seawater inputs (Na/Cl ≈ 0.86) is not always the main source of Cl</w:t>
      </w:r>
      <w:r w:rsidR="002529A5">
        <w:rPr>
          <w:rFonts w:hint="eastAsia"/>
          <w:vertAlign w:val="superscript"/>
        </w:rPr>
        <w:t>–</w:t>
      </w:r>
      <w:r w:rsidRPr="00A6413F">
        <w:rPr>
          <w:rFonts w:hint="eastAsia"/>
        </w:rPr>
        <w:t xml:space="preserve"> and/or that other processes are source of Na</w:t>
      </w:r>
      <w:r w:rsidRPr="00A6413F">
        <w:rPr>
          <w:rFonts w:hint="eastAsia"/>
          <w:vertAlign w:val="superscript"/>
        </w:rPr>
        <w:t>+</w:t>
      </w:r>
      <w:r w:rsidRPr="00A6413F">
        <w:rPr>
          <w:rFonts w:hint="eastAsia"/>
        </w:rPr>
        <w:t xml:space="preserve"> (see below), pr</w:t>
      </w:r>
      <w:r w:rsidRPr="00A6413F">
        <w:t xml:space="preserve">ovoking Na/Cl disbalancing. Sources of </w:t>
      </w:r>
      <w:proofErr w:type="spellStart"/>
      <w:proofErr w:type="gramStart"/>
      <w:r w:rsidRPr="00A6413F">
        <w:t>Ca,Mg</w:t>
      </w:r>
      <w:proofErr w:type="spellEnd"/>
      <w:proofErr w:type="gramEnd"/>
      <w:r w:rsidR="002529A5">
        <w:t>–</w:t>
      </w:r>
      <w:r w:rsidRPr="00A6413F">
        <w:t>rich chloride salts may be related to the formation of evaporites, with associated brines, and/or by the pollution from road de</w:t>
      </w:r>
      <w:r w:rsidR="002529A5">
        <w:t>–</w:t>
      </w:r>
      <w:r w:rsidRPr="00A6413F">
        <w:t>icing salts. Ca, Mg, Na: Cl’s brine formed during</w:t>
      </w:r>
      <w:r>
        <w:t xml:space="preserve"> the formation of evaporites may percolates and accumulates at greater depths in the sedimentary column [</w:t>
      </w:r>
      <w:r w:rsidR="003573E8">
        <w:t>5</w:t>
      </w:r>
      <w:r w:rsidR="008D7E1D">
        <w:t>2</w:t>
      </w:r>
      <w:r>
        <w:t xml:space="preserve">]. An example of Ca, Mg rich brine (average </w:t>
      </w:r>
      <w:proofErr w:type="spellStart"/>
      <w:r>
        <w:t>meq</w:t>
      </w:r>
      <w:proofErr w:type="spellEnd"/>
      <w:r>
        <w:t xml:space="preserve">/L ratio of 1.8 Ca, </w:t>
      </w:r>
      <w:proofErr w:type="spellStart"/>
      <w:proofErr w:type="gramStart"/>
      <w:r w:rsidRPr="00DF0FC0">
        <w:t>Mg:</w:t>
      </w:r>
      <w:r>
        <w:t>Na</w:t>
      </w:r>
      <w:proofErr w:type="spellEnd"/>
      <w:proofErr w:type="gramEnd"/>
      <w:r>
        <w:t>) was found in the study area of St. Laurence Lowlands and are described by [</w:t>
      </w:r>
      <w:r w:rsidR="003573E8">
        <w:t>5</w:t>
      </w:r>
      <w:r w:rsidR="008D7E1D">
        <w:t>0</w:t>
      </w:r>
      <w:r>
        <w:t>], reaching TDS of about 100 to 300</w:t>
      </w:r>
      <w:r w:rsidR="00F039AD" w:rsidRPr="00F039AD">
        <w:t xml:space="preserve"> </w:t>
      </w:r>
      <w:r>
        <w:t>g/L in Cambrian and Ordovician sedimentary formations and at depths of about 800 to 1</w:t>
      </w:r>
      <w:r w:rsidR="00F039AD" w:rsidRPr="00F039AD">
        <w:t xml:space="preserve"> </w:t>
      </w:r>
      <w:r>
        <w:t>400</w:t>
      </w:r>
      <w:r w:rsidR="00F039AD" w:rsidRPr="00F039AD">
        <w:t xml:space="preserve"> </w:t>
      </w:r>
      <w:r>
        <w:t>m. De</w:t>
      </w:r>
      <w:r w:rsidR="002529A5">
        <w:t>–</w:t>
      </w:r>
      <w:r>
        <w:t>icing road salt may also be the source Na</w:t>
      </w:r>
      <w:r w:rsidRPr="00B86926">
        <w:rPr>
          <w:vertAlign w:val="superscript"/>
        </w:rPr>
        <w:t>+</w:t>
      </w:r>
      <w:r>
        <w:t xml:space="preserve"> as well as </w:t>
      </w:r>
      <w:r w:rsidR="00B86926">
        <w:t>Ca</w:t>
      </w:r>
      <w:r w:rsidR="00B86926" w:rsidRPr="00B86926">
        <w:rPr>
          <w:vertAlign w:val="superscript"/>
        </w:rPr>
        <w:t>2+</w:t>
      </w:r>
      <w:r w:rsidR="00B86926">
        <w:t xml:space="preserve"> and Mg</w:t>
      </w:r>
      <w:r w:rsidR="00B86926" w:rsidRPr="00B86926">
        <w:rPr>
          <w:vertAlign w:val="superscript"/>
        </w:rPr>
        <w:t>2+</w:t>
      </w:r>
      <w:r w:rsidR="00B86926">
        <w:t xml:space="preserve"> </w:t>
      </w:r>
      <w:r>
        <w:t>chloride salts. MgCl</w:t>
      </w:r>
      <w:r w:rsidRPr="00B86926">
        <w:rPr>
          <w:vertAlign w:val="subscript"/>
        </w:rPr>
        <w:t>2</w:t>
      </w:r>
      <w:r>
        <w:t xml:space="preserve"> and CaCl</w:t>
      </w:r>
      <w:r w:rsidRPr="00B86926">
        <w:rPr>
          <w:vertAlign w:val="subscript"/>
        </w:rPr>
        <w:t>2</w:t>
      </w:r>
      <w:r>
        <w:t xml:space="preserve"> are reported to be regularly added to de</w:t>
      </w:r>
      <w:r w:rsidR="002529A5">
        <w:t>–</w:t>
      </w:r>
      <w:r>
        <w:t xml:space="preserve">icing salt mixtures in Quebec, as for reaching lower </w:t>
      </w:r>
      <w:r w:rsidRPr="00DF0FC0">
        <w:t>eutectic temperature (i.e., respectively</w:t>
      </w:r>
      <w:r w:rsidR="00CE1C60">
        <w:t>,</w:t>
      </w:r>
      <w:r w:rsidRPr="00DF0FC0">
        <w:t xml:space="preserve"> </w:t>
      </w:r>
      <w:r w:rsidR="002529A5" w:rsidRPr="00DF0FC0">
        <w:t>–</w:t>
      </w:r>
      <w:r w:rsidRPr="00DF0FC0">
        <w:t>33</w:t>
      </w:r>
      <w:r w:rsidR="00DF0FC0">
        <w:t xml:space="preserve"> </w:t>
      </w:r>
      <w:r w:rsidRPr="00DF0FC0">
        <w:t xml:space="preserve">°C and </w:t>
      </w:r>
      <w:r w:rsidR="002529A5" w:rsidRPr="00DF0FC0">
        <w:t>–</w:t>
      </w:r>
      <w:r w:rsidRPr="00DF0FC0">
        <w:t>55</w:t>
      </w:r>
      <w:r w:rsidR="00DF0FC0">
        <w:t xml:space="preserve"> </w:t>
      </w:r>
      <w:r w:rsidRPr="00DF0FC0">
        <w:t xml:space="preserve">°C), compared to </w:t>
      </w:r>
      <w:r w:rsidR="002529A5" w:rsidRPr="00DF0FC0">
        <w:t>–</w:t>
      </w:r>
      <w:r w:rsidRPr="00DF0FC0">
        <w:t>21</w:t>
      </w:r>
      <w:r w:rsidR="00CE4C54">
        <w:t xml:space="preserve"> </w:t>
      </w:r>
      <w:r w:rsidRPr="00DF0FC0">
        <w:t>°C with the use of Na</w:t>
      </w:r>
      <w:r w:rsidR="002529A5" w:rsidRPr="00DF0FC0">
        <w:t>–</w:t>
      </w:r>
      <w:r w:rsidRPr="00DF0FC0">
        <w:t>Cl alone [</w:t>
      </w:r>
      <w:r w:rsidR="003573E8" w:rsidRPr="00DF0FC0">
        <w:t>53</w:t>
      </w:r>
      <w:r w:rsidRPr="00DF0FC0">
        <w:t>]. Given the composition of the samples for St.</w:t>
      </w:r>
      <w:r w:rsidR="00F039AD" w:rsidRPr="00DF0FC0">
        <w:t xml:space="preserve"> </w:t>
      </w:r>
      <w:proofErr w:type="spellStart"/>
      <w:r w:rsidRPr="00DF0FC0">
        <w:t>Roch</w:t>
      </w:r>
      <w:proofErr w:type="spellEnd"/>
      <w:r w:rsidRPr="00DF0FC0">
        <w:t xml:space="preserve"> and Abbotsford wellbores, inputs from road salt or from fossil brines are both possible. However, δ</w:t>
      </w:r>
      <w:r w:rsidRPr="00DF0FC0">
        <w:rPr>
          <w:vertAlign w:val="superscript"/>
        </w:rPr>
        <w:t>2</w:t>
      </w:r>
      <w:r w:rsidRPr="00DF0FC0">
        <w:t>H and δ</w:t>
      </w:r>
      <w:r w:rsidRPr="00DF0FC0">
        <w:rPr>
          <w:vertAlign w:val="superscript"/>
        </w:rPr>
        <w:t>18</w:t>
      </w:r>
      <w:r w:rsidRPr="00DF0FC0">
        <w:t>O isotopic composition of these waters follow the meteoric water line (Figure 15)</w:t>
      </w:r>
      <w:r>
        <w:t xml:space="preserve"> while fossil brines show often anomalous δ</w:t>
      </w:r>
      <w:r w:rsidRPr="00B86926">
        <w:rPr>
          <w:vertAlign w:val="superscript"/>
        </w:rPr>
        <w:t>2</w:t>
      </w:r>
      <w:r>
        <w:t>H compositions above the meteoric line [5</w:t>
      </w:r>
      <w:r w:rsidR="003573E8">
        <w:t>4</w:t>
      </w:r>
      <w:r>
        <w:t>]. Furthermore, fossil brines are found at depths of several hundred meters [</w:t>
      </w:r>
      <w:r w:rsidR="003573E8">
        <w:t>5</w:t>
      </w:r>
      <w:r w:rsidR="00C7138F">
        <w:t>0</w:t>
      </w:r>
      <w:r>
        <w:t xml:space="preserve">]. Based on these considerations, we suggest that rich inputs of </w:t>
      </w:r>
      <w:r w:rsidR="00B86926">
        <w:t>Ca</w:t>
      </w:r>
      <w:r w:rsidR="00B86926" w:rsidRPr="00B86926">
        <w:rPr>
          <w:vertAlign w:val="superscript"/>
        </w:rPr>
        <w:t>2+</w:t>
      </w:r>
      <w:r w:rsidR="00B86926">
        <w:t xml:space="preserve"> and Mg</w:t>
      </w:r>
      <w:r w:rsidR="00B86926" w:rsidRPr="00B86926">
        <w:rPr>
          <w:vertAlign w:val="superscript"/>
        </w:rPr>
        <w:t>2+</w:t>
      </w:r>
      <w:r w:rsidR="00B86926">
        <w:t xml:space="preserve"> </w:t>
      </w:r>
      <w:r>
        <w:t>from chloride salts for St.</w:t>
      </w:r>
      <w:r w:rsidR="00F039AD" w:rsidRPr="00F039AD">
        <w:t xml:space="preserve"> </w:t>
      </w:r>
      <w:proofErr w:type="spellStart"/>
      <w:r>
        <w:t>Roch</w:t>
      </w:r>
      <w:proofErr w:type="spellEnd"/>
      <w:r>
        <w:t xml:space="preserve"> and Abbotsford wellbores are more likely due to de</w:t>
      </w:r>
      <w:r w:rsidR="002529A5">
        <w:t>–</w:t>
      </w:r>
      <w:r>
        <w:t>icing road salt pollution. The latter sites bein</w:t>
      </w:r>
      <w:r w:rsidR="00CE1C60">
        <w:t>g</w:t>
      </w:r>
      <w:r w:rsidR="00CE1C60" w:rsidRPr="00CE1C60">
        <w:t>, respectively</w:t>
      </w:r>
      <w:r w:rsidR="00CE1C60">
        <w:t>,</w:t>
      </w:r>
      <w:r>
        <w:t xml:space="preserve"> placed within an urban area, and in a rural area but at less than 300</w:t>
      </w:r>
      <w:r w:rsidR="00F039AD" w:rsidRPr="00F039AD">
        <w:t xml:space="preserve"> </w:t>
      </w:r>
      <w:r>
        <w:t>m from main roads. Highest salinities observed at greater depths for Abbotsford</w:t>
      </w:r>
      <w:r w:rsidR="00F039AD" w:rsidRPr="00F039AD">
        <w:t xml:space="preserve"> </w:t>
      </w:r>
      <w:r>
        <w:t>PO5 (75 and 95</w:t>
      </w:r>
      <w:r w:rsidR="00F039AD" w:rsidRPr="00F039AD">
        <w:t xml:space="preserve"> </w:t>
      </w:r>
      <w:r>
        <w:t xml:space="preserve">m) are inferred to be the result of the density driven accumulation of road salt’s pollution at the bottom of the wellbore, where stagnant water condition is maintained due to the extremely low permeability of the </w:t>
      </w:r>
      <w:r w:rsidR="005D7C59">
        <w:t>fractured aquifer</w:t>
      </w:r>
      <w:r>
        <w:t xml:space="preserve"> at this location, whereas all the other wellbores </w:t>
      </w:r>
      <w:proofErr w:type="gramStart"/>
      <w:r>
        <w:t>are located in</w:t>
      </w:r>
      <w:proofErr w:type="gramEnd"/>
      <w:r>
        <w:t xml:space="preserve"> much productive aquifers.</w:t>
      </w:r>
    </w:p>
    <w:p w14:paraId="055E9660" w14:textId="17A86D06" w:rsidR="00986F3A" w:rsidRPr="00DF0FC0" w:rsidRDefault="00DF0FC0" w:rsidP="00DF0FC0">
      <w:pPr>
        <w:pStyle w:val="MDPI23heading3"/>
        <w:spacing w:before="240"/>
      </w:pPr>
      <w:r w:rsidRPr="00DF0FC0">
        <w:t xml:space="preserve">5.2.4. </w:t>
      </w:r>
      <w:r w:rsidR="00986F3A" w:rsidRPr="00DF0FC0">
        <w:t xml:space="preserve">Other </w:t>
      </w:r>
      <w:r w:rsidR="001E26E6">
        <w:t>M</w:t>
      </w:r>
      <w:r w:rsidR="00986F3A" w:rsidRPr="00DF0FC0">
        <w:t xml:space="preserve">ineralization </w:t>
      </w:r>
      <w:r w:rsidR="001E26E6">
        <w:t>R</w:t>
      </w:r>
      <w:r w:rsidR="00986F3A" w:rsidRPr="00DF0FC0">
        <w:t>elated to Na</w:t>
      </w:r>
      <w:r w:rsidR="00986F3A" w:rsidRPr="00DF0FC0">
        <w:rPr>
          <w:vertAlign w:val="superscript"/>
        </w:rPr>
        <w:t>+</w:t>
      </w:r>
      <w:r w:rsidR="00986F3A" w:rsidRPr="00DF0FC0">
        <w:t xml:space="preserve"> </w:t>
      </w:r>
      <w:proofErr w:type="gramStart"/>
      <w:r w:rsidR="001E26E6">
        <w:t>I</w:t>
      </w:r>
      <w:r w:rsidR="00986F3A" w:rsidRPr="00DF0FC0">
        <w:t>nputs</w:t>
      </w:r>
      <w:proofErr w:type="gramEnd"/>
    </w:p>
    <w:p w14:paraId="18BBA36A" w14:textId="28CFBCF5" w:rsidR="00986F3A" w:rsidRPr="00A6413F" w:rsidRDefault="00986F3A" w:rsidP="00986F3A">
      <w:pPr>
        <w:pStyle w:val="MDPI31text"/>
      </w:pPr>
      <w:r>
        <w:t>For samples dominated by Cl</w:t>
      </w:r>
      <w:r w:rsidR="002529A5">
        <w:rPr>
          <w:vertAlign w:val="superscript"/>
        </w:rPr>
        <w:t>–</w:t>
      </w:r>
      <w:r>
        <w:t xml:space="preserve"> inputs (St.</w:t>
      </w:r>
      <w:r w:rsidR="00F039AD" w:rsidRPr="00F039AD">
        <w:t xml:space="preserve"> </w:t>
      </w:r>
      <w:proofErr w:type="spellStart"/>
      <w:r>
        <w:t>Roch</w:t>
      </w:r>
      <w:proofErr w:type="spellEnd"/>
      <w:r>
        <w:t xml:space="preserve"> and Abbotsford), excess of Na</w:t>
      </w:r>
      <w:r w:rsidRPr="00B86926">
        <w:rPr>
          <w:vertAlign w:val="superscript"/>
        </w:rPr>
        <w:t>+</w:t>
      </w:r>
      <w:r>
        <w:t xml:space="preserve"> compared to that expected from chloride salts (X</w:t>
      </w:r>
      <w:r w:rsidR="002529A5">
        <w:t>–</w:t>
      </w:r>
      <w:r>
        <w:t>axis of Figure 12), is likely attributed to Ca</w:t>
      </w:r>
      <w:r w:rsidR="002529A5">
        <w:t>–</w:t>
      </w:r>
      <w:r>
        <w:t>Na and Mg</w:t>
      </w:r>
      <w:r w:rsidR="002529A5">
        <w:t>–</w:t>
      </w:r>
      <w:r>
        <w:t>Na cation exchange occurring in the aquifer. Na input from cation exchang</w:t>
      </w:r>
      <w:r>
        <w:rPr>
          <w:rFonts w:hint="eastAsia"/>
        </w:rPr>
        <w:t>e appear insignificant for St.</w:t>
      </w:r>
      <w:r w:rsidR="00F039AD" w:rsidRPr="00F039AD">
        <w:t xml:space="preserve"> </w:t>
      </w:r>
      <w:proofErr w:type="spellStart"/>
      <w:r>
        <w:rPr>
          <w:rFonts w:hint="eastAsia"/>
        </w:rPr>
        <w:t>Roch</w:t>
      </w:r>
      <w:proofErr w:type="spellEnd"/>
      <w:r>
        <w:rPr>
          <w:rFonts w:hint="eastAsia"/>
        </w:rPr>
        <w:t xml:space="preserve"> samples, while it is reaching from 18% to 50% in Abbotsford samples</w:t>
      </w:r>
      <w:r w:rsidRPr="00A6413F">
        <w:rPr>
          <w:rFonts w:hint="eastAsia"/>
        </w:rPr>
        <w:t>. For wellbore not dominated by chloride salts inputs, Na/Cl ratios are in the vast majority greater than the one expected from seawater (Na/Cl</w:t>
      </w:r>
      <w:r w:rsidR="001E26E6">
        <w:t xml:space="preserve"> </w:t>
      </w:r>
      <w:r w:rsidRPr="00A6413F">
        <w:rPr>
          <w:rFonts w:hint="eastAsia"/>
        </w:rPr>
        <w:t>≈</w:t>
      </w:r>
      <w:r w:rsidR="001E26E6">
        <w:t xml:space="preserve"> </w:t>
      </w:r>
      <w:r w:rsidRPr="00A6413F">
        <w:rPr>
          <w:rFonts w:hint="eastAsia"/>
        </w:rPr>
        <w:t>0.86), wh</w:t>
      </w:r>
      <w:r w:rsidRPr="00A6413F">
        <w:t xml:space="preserve">ich is an evidence that cation exchange is widespread for </w:t>
      </w:r>
      <w:proofErr w:type="spellStart"/>
      <w:r w:rsidRPr="00A6413F">
        <w:t>Hemmingford</w:t>
      </w:r>
      <w:proofErr w:type="spellEnd"/>
      <w:r w:rsidRPr="00A6413F">
        <w:t>, St.</w:t>
      </w:r>
      <w:r w:rsidR="00F039AD" w:rsidRPr="00F039AD">
        <w:t xml:space="preserve"> </w:t>
      </w:r>
      <w:r w:rsidRPr="00A6413F">
        <w:t xml:space="preserve">Lazare, </w:t>
      </w:r>
      <w:proofErr w:type="spellStart"/>
      <w:r w:rsidRPr="00A6413F">
        <w:t>Ormstown</w:t>
      </w:r>
      <w:proofErr w:type="spellEnd"/>
      <w:r w:rsidRPr="00A6413F">
        <w:t xml:space="preserve">, Napierville, Chateauguay and Mirabel wellbores (Table </w:t>
      </w:r>
      <w:r w:rsidR="00F77D0E">
        <w:t>1</w:t>
      </w:r>
      <w:r w:rsidRPr="00A6413F">
        <w:t>). Part of Na</w:t>
      </w:r>
      <w:r w:rsidRPr="00A6413F">
        <w:rPr>
          <w:vertAlign w:val="superscript"/>
        </w:rPr>
        <w:t>+</w:t>
      </w:r>
      <w:r w:rsidRPr="00A6413F">
        <w:t xml:space="preserve"> or Ca</w:t>
      </w:r>
      <w:r w:rsidRPr="00A6413F">
        <w:rPr>
          <w:vertAlign w:val="superscript"/>
        </w:rPr>
        <w:t>2+</w:t>
      </w:r>
      <w:r w:rsidRPr="00A6413F">
        <w:t xml:space="preserve"> contributions from Ca and Na</w:t>
      </w:r>
      <w:r w:rsidR="002529A5">
        <w:t>–</w:t>
      </w:r>
      <w:r w:rsidRPr="00A6413F">
        <w:t>Feldspar weathering cannot be completely excluded, especially for wells installed in the sandstone aquifer (St.</w:t>
      </w:r>
      <w:r w:rsidR="00F039AD" w:rsidRPr="00F039AD">
        <w:t xml:space="preserve"> </w:t>
      </w:r>
      <w:r w:rsidRPr="00A6413F">
        <w:t xml:space="preserve">Lazare, </w:t>
      </w:r>
      <w:proofErr w:type="spellStart"/>
      <w:r w:rsidRPr="00A6413F">
        <w:t>Ormstown</w:t>
      </w:r>
      <w:proofErr w:type="spellEnd"/>
      <w:r w:rsidRPr="00A6413F">
        <w:t xml:space="preserve">). </w:t>
      </w:r>
      <w:r w:rsidR="00CE1C60">
        <w:t xml:space="preserve">However, </w:t>
      </w:r>
      <w:r w:rsidRPr="00A6413F">
        <w:t xml:space="preserve">as carbonates are present within Quaternary sediments overlaying the </w:t>
      </w:r>
      <w:r w:rsidR="005D7C59" w:rsidRPr="00A6413F">
        <w:t>fractured aquifer</w:t>
      </w:r>
      <w:r w:rsidRPr="00A6413F">
        <w:t xml:space="preserve">, and present even in few </w:t>
      </w:r>
      <w:r w:rsidR="00407BC4" w:rsidRPr="00A6413F">
        <w:t>amounts</w:t>
      </w:r>
      <w:r w:rsidRPr="00A6413F">
        <w:t xml:space="preserve"> in the cement of the sandstone [5</w:t>
      </w:r>
      <w:r w:rsidR="003573E8">
        <w:t>5</w:t>
      </w:r>
      <w:r w:rsidRPr="00A6413F">
        <w:t>], significant contributions</w:t>
      </w:r>
      <w:r w:rsidR="00922F52">
        <w:t xml:space="preserve"> of Ca</w:t>
      </w:r>
      <w:r w:rsidRPr="00A6413F">
        <w:t xml:space="preserve"> from silicate weathering over carbonates weathering is very unlikely.</w:t>
      </w:r>
      <w:r w:rsidR="00922F52">
        <w:t xml:space="preserve"> </w:t>
      </w:r>
      <w:bookmarkStart w:id="19" w:name="_Hlk75472392"/>
      <w:r w:rsidR="00922F52">
        <w:t>Regarding Na excess, Ca</w:t>
      </w:r>
      <w:r w:rsidR="002529A5">
        <w:t>–</w:t>
      </w:r>
      <w:r w:rsidR="00922F52">
        <w:t xml:space="preserve">Na cation exchange is reported in the region to be effective even for quite evolved groundwater </w:t>
      </w:r>
      <w:r w:rsidR="0058379A">
        <w:t>[1,12,13]</w:t>
      </w:r>
      <w:r w:rsidR="00922F52">
        <w:t>, suggesting that the</w:t>
      </w:r>
      <w:r w:rsidR="00922F52" w:rsidRPr="00922F52">
        <w:t xml:space="preserve"> ion exchange capacity </w:t>
      </w:r>
      <w:r w:rsidR="00922F52">
        <w:t xml:space="preserve">is </w:t>
      </w:r>
      <w:r w:rsidR="00922F52" w:rsidRPr="00922F52">
        <w:t xml:space="preserve">still available </w:t>
      </w:r>
      <w:r w:rsidR="00922F52">
        <w:t>after</w:t>
      </w:r>
      <w:r w:rsidR="00922F52" w:rsidRPr="00922F52">
        <w:t xml:space="preserve"> </w:t>
      </w:r>
      <w:r w:rsidR="00922F52">
        <w:lastRenderedPageBreak/>
        <w:t>relatively long residence</w:t>
      </w:r>
      <w:r w:rsidR="00922F52" w:rsidRPr="00922F52">
        <w:t xml:space="preserve"> time </w:t>
      </w:r>
      <w:r w:rsidR="00922F52">
        <w:t xml:space="preserve">of groundwater within the aquifer. Significant </w:t>
      </w:r>
      <w:r w:rsidR="00981FA9">
        <w:t>Na inputs from plagioclase weathering appears unlikely in the context of this study for all wellbores but St</w:t>
      </w:r>
      <w:r w:rsidR="001769A0">
        <w:t>.</w:t>
      </w:r>
      <w:r w:rsidR="00F039AD" w:rsidRPr="00F039AD">
        <w:t xml:space="preserve"> </w:t>
      </w:r>
      <w:r w:rsidR="00981FA9">
        <w:t>Lazare for which it is possible. Silicate weathering is indeed much more resilient that carbonate weathering [</w:t>
      </w:r>
      <w:r w:rsidR="00904746">
        <w:t>33</w:t>
      </w:r>
      <w:r w:rsidR="00981FA9">
        <w:t>], and groundwater at all sites (but St</w:t>
      </w:r>
      <w:r w:rsidR="001769A0">
        <w:t>.</w:t>
      </w:r>
      <w:r w:rsidR="00F039AD" w:rsidRPr="00F039AD">
        <w:t xml:space="preserve"> </w:t>
      </w:r>
      <w:r w:rsidR="00981FA9">
        <w:t xml:space="preserve">Lazare) appears to be </w:t>
      </w:r>
      <w:r w:rsidR="00904746">
        <w:t>“</w:t>
      </w:r>
      <w:r w:rsidR="00981FA9">
        <w:t>recent</w:t>
      </w:r>
      <w:r w:rsidR="00904746">
        <w:t>”</w:t>
      </w:r>
      <w:r w:rsidR="00981FA9">
        <w:t xml:space="preserve"> (</w:t>
      </w:r>
      <w:r w:rsidR="00F039AD">
        <w:t>Section 5</w:t>
      </w:r>
      <w:r w:rsidR="00981FA9">
        <w:t>.3)</w:t>
      </w:r>
      <w:bookmarkEnd w:id="19"/>
      <w:r w:rsidR="00981FA9">
        <w:t>.</w:t>
      </w:r>
    </w:p>
    <w:p w14:paraId="7178D85F" w14:textId="0DBFD66E" w:rsidR="00986F3A" w:rsidRPr="00413932" w:rsidRDefault="00413932" w:rsidP="00413932">
      <w:pPr>
        <w:pStyle w:val="MDPI22heading2"/>
        <w:spacing w:before="240"/>
      </w:pPr>
      <w:r w:rsidRPr="00413932">
        <w:t xml:space="preserve">5.3. </w:t>
      </w:r>
      <w:r w:rsidR="00986F3A" w:rsidRPr="00413932">
        <w:t xml:space="preserve">Complementary </w:t>
      </w:r>
      <w:r w:rsidR="001E26E6" w:rsidRPr="00413932">
        <w:t>I</w:t>
      </w:r>
      <w:r w:rsidR="00986F3A" w:rsidRPr="00413932">
        <w:t xml:space="preserve">nformation </w:t>
      </w:r>
      <w:r w:rsidR="001E26E6" w:rsidRPr="00413932">
        <w:t>G</w:t>
      </w:r>
      <w:r w:rsidR="00986F3A" w:rsidRPr="00413932">
        <w:t xml:space="preserve">athered from </w:t>
      </w:r>
      <w:r w:rsidR="001E26E6" w:rsidRPr="00413932">
        <w:t>I</w:t>
      </w:r>
      <w:r w:rsidR="00986F3A" w:rsidRPr="00413932">
        <w:t xml:space="preserve">sotopic </w:t>
      </w:r>
      <w:r w:rsidR="001E26E6" w:rsidRPr="00413932">
        <w:t>G</w:t>
      </w:r>
      <w:r w:rsidR="00986F3A" w:rsidRPr="00413932">
        <w:t>eochemistry</w:t>
      </w:r>
    </w:p>
    <w:p w14:paraId="44119D90" w14:textId="58C6A67F" w:rsidR="00986F3A" w:rsidRPr="00A6413F" w:rsidRDefault="00986F3A" w:rsidP="00986F3A">
      <w:pPr>
        <w:pStyle w:val="MDPI31text"/>
      </w:pPr>
      <w:r w:rsidRPr="00A6413F">
        <w:t>All the groundwater samples have isotopic composition (δ</w:t>
      </w:r>
      <w:r w:rsidRPr="00A6413F">
        <w:rPr>
          <w:vertAlign w:val="superscript"/>
        </w:rPr>
        <w:t>18</w:t>
      </w:r>
      <w:r w:rsidRPr="00A6413F">
        <w:t>O and δ</w:t>
      </w:r>
      <w:r w:rsidRPr="00A6413F">
        <w:rPr>
          <w:vertAlign w:val="superscript"/>
        </w:rPr>
        <w:t>2</w:t>
      </w:r>
      <w:r w:rsidRPr="00A6413F">
        <w:t>H) that are depleted compared to the yearly average of precipitations (Figure</w:t>
      </w:r>
      <w:r w:rsidR="00F039AD" w:rsidRPr="00F039AD">
        <w:t xml:space="preserve"> </w:t>
      </w:r>
      <w:r w:rsidRPr="00A6413F">
        <w:t>15</w:t>
      </w:r>
      <w:r w:rsidR="00F039AD" w:rsidRPr="00F039AD">
        <w:t xml:space="preserve"> </w:t>
      </w:r>
      <w:r w:rsidRPr="00A6413F">
        <w:t>a). This would be the result of more intense recharge periods during spring snow melt and fall rainfall as suggested by recharge studies in Quebec [5</w:t>
      </w:r>
      <w:r w:rsidR="003573E8">
        <w:t>6</w:t>
      </w:r>
      <w:r w:rsidRPr="00A6413F">
        <w:t>], whose isotopic composition being depleted compared to other precipitations periods in the study area [4</w:t>
      </w:r>
      <w:r w:rsidR="003573E8">
        <w:t>7</w:t>
      </w:r>
      <w:r w:rsidRPr="00A6413F">
        <w:t>]. Different isotopic compositions are observed from one well to another, but do not show depth</w:t>
      </w:r>
      <w:r w:rsidR="002529A5">
        <w:t>–</w:t>
      </w:r>
      <w:r w:rsidR="00407BC4" w:rsidRPr="00A6413F">
        <w:t>dependent</w:t>
      </w:r>
      <w:r w:rsidRPr="00A6413F">
        <w:t xml:space="preserve"> variability within each well (Figure</w:t>
      </w:r>
      <w:r w:rsidR="00F039AD" w:rsidRPr="00F039AD">
        <w:t xml:space="preserve"> </w:t>
      </w:r>
      <w:r w:rsidRPr="00A6413F">
        <w:t>15b). Different isotopic compositions</w:t>
      </w:r>
      <w:r>
        <w:t xml:space="preserve"> are thus attributable to site specific distribution of seasonal intensity of the recharge. Discriminating between remnants of</w:t>
      </w:r>
      <w:r>
        <w:rPr>
          <w:rFonts w:hint="eastAsia"/>
        </w:rPr>
        <w:t xml:space="preserve"> Champlain seawater or depleted Pleistocene melt water that may have accumulated at great depths is not possible using stable isotopes of water. Champlain seawater composition (i.e., δ</w:t>
      </w:r>
      <w:r w:rsidRPr="00407BC4">
        <w:rPr>
          <w:rFonts w:hint="eastAsia"/>
          <w:vertAlign w:val="superscript"/>
        </w:rPr>
        <w:t>18</w:t>
      </w:r>
      <w:r>
        <w:rPr>
          <w:rFonts w:hint="eastAsia"/>
        </w:rPr>
        <w:t xml:space="preserve">O ≈ </w:t>
      </w:r>
      <w:r w:rsidR="002529A5">
        <w:rPr>
          <w:rFonts w:hint="eastAsia"/>
        </w:rPr>
        <w:t>–</w:t>
      </w:r>
      <w:r>
        <w:rPr>
          <w:rFonts w:hint="eastAsia"/>
        </w:rPr>
        <w:t>10.5‰ as reported by [3</w:t>
      </w:r>
      <w:r w:rsidR="003573E8">
        <w:t>4</w:t>
      </w:r>
      <w:r>
        <w:rPr>
          <w:rFonts w:hint="eastAsia"/>
        </w:rPr>
        <w:t>]) would be in the same range as the mean meteoric composition of the study area (i.e., δ</w:t>
      </w:r>
      <w:r w:rsidRPr="00407BC4">
        <w:rPr>
          <w:rFonts w:hint="eastAsia"/>
          <w:vertAlign w:val="superscript"/>
        </w:rPr>
        <w:t>18</w:t>
      </w:r>
      <w:r>
        <w:rPr>
          <w:rFonts w:hint="eastAsia"/>
        </w:rPr>
        <w:t>O</w:t>
      </w:r>
      <w:r w:rsidR="00F039AD" w:rsidRPr="00F039AD">
        <w:t xml:space="preserve"> </w:t>
      </w:r>
      <w:r>
        <w:rPr>
          <w:rFonts w:hint="eastAsia"/>
        </w:rPr>
        <w:t>≈</w:t>
      </w:r>
      <w:r w:rsidR="00F039AD" w:rsidRPr="00F039AD">
        <w:t xml:space="preserve"> </w:t>
      </w:r>
      <w:r w:rsidR="002529A5">
        <w:rPr>
          <w:rFonts w:hint="eastAsia"/>
        </w:rPr>
        <w:t>–</w:t>
      </w:r>
      <w:r>
        <w:rPr>
          <w:rFonts w:hint="eastAsia"/>
        </w:rPr>
        <w:t>10.5‰, Figure</w:t>
      </w:r>
      <w:r w:rsidR="00F039AD" w:rsidRPr="00F039AD">
        <w:t xml:space="preserve"> </w:t>
      </w:r>
      <w:r>
        <w:rPr>
          <w:rFonts w:hint="eastAsia"/>
        </w:rPr>
        <w:t>15</w:t>
      </w:r>
      <w:r w:rsidR="00F039AD" w:rsidRPr="00F039AD">
        <w:t xml:space="preserve"> </w:t>
      </w:r>
      <w:r>
        <w:rPr>
          <w:rFonts w:hint="eastAsia"/>
        </w:rPr>
        <w:t xml:space="preserve">a) and </w:t>
      </w:r>
      <w:r w:rsidR="00407BC4">
        <w:rPr>
          <w:rFonts w:hint="eastAsia"/>
        </w:rPr>
        <w:t>δ</w:t>
      </w:r>
      <w:r w:rsidRPr="00407BC4">
        <w:rPr>
          <w:rFonts w:hint="eastAsia"/>
          <w:vertAlign w:val="superscript"/>
        </w:rPr>
        <w:t>18</w:t>
      </w:r>
      <w:r>
        <w:rPr>
          <w:rFonts w:hint="eastAsia"/>
        </w:rPr>
        <w:t>O isotopic shift between today and the last glacial period is only of 1.5‰ VSMOW</w:t>
      </w:r>
      <w:r w:rsidR="00294B2B">
        <w:t xml:space="preserve"> (</w:t>
      </w:r>
      <w:r w:rsidR="00294B2B" w:rsidRPr="00294B2B">
        <w:t>Vienna Standard Mean Ocean Water</w:t>
      </w:r>
      <w:r w:rsidR="00294B2B">
        <w:t xml:space="preserve">) </w:t>
      </w:r>
      <w:r>
        <w:rPr>
          <w:rFonts w:hint="eastAsia"/>
        </w:rPr>
        <w:t>[5</w:t>
      </w:r>
      <w:r w:rsidR="003573E8">
        <w:t>7</w:t>
      </w:r>
      <w:r>
        <w:rPr>
          <w:rFonts w:hint="eastAsia"/>
        </w:rPr>
        <w:t xml:space="preserve">] and falls </w:t>
      </w:r>
      <w:r w:rsidRPr="00A6413F">
        <w:rPr>
          <w:rFonts w:hint="eastAsia"/>
        </w:rPr>
        <w:t>within the observed isotopic varia</w:t>
      </w:r>
      <w:r w:rsidRPr="00A6413F">
        <w:t>bility in wells studied.</w:t>
      </w:r>
    </w:p>
    <w:p w14:paraId="72D66A43" w14:textId="492B55EA" w:rsidR="00986F3A" w:rsidRPr="00A6413F" w:rsidRDefault="00986F3A" w:rsidP="00986F3A">
      <w:pPr>
        <w:pStyle w:val="MDPI31text"/>
      </w:pPr>
      <w:r w:rsidRPr="00A6413F">
        <w:t>Data presented for δ</w:t>
      </w:r>
      <w:r w:rsidRPr="00A6413F">
        <w:rPr>
          <w:vertAlign w:val="superscript"/>
        </w:rPr>
        <w:t>13</w:t>
      </w:r>
      <w:r w:rsidRPr="00A6413F">
        <w:t xml:space="preserve">C in Figure 14 are complementing the discussion about the evolution of water regarding the </w:t>
      </w:r>
      <w:proofErr w:type="spellStart"/>
      <w:r w:rsidRPr="00A6413F">
        <w:t>calco</w:t>
      </w:r>
      <w:proofErr w:type="spellEnd"/>
      <w:r w:rsidR="002529A5">
        <w:t>–</w:t>
      </w:r>
      <w:r w:rsidRPr="00A6413F">
        <w:t>carbonic system and its openness to soil CO</w:t>
      </w:r>
      <w:r w:rsidRPr="00A6413F">
        <w:rPr>
          <w:vertAlign w:val="subscript"/>
        </w:rPr>
        <w:t>2</w:t>
      </w:r>
      <w:r w:rsidRPr="00A6413F">
        <w:t xml:space="preserve"> (Section 5.2.1), and to infer about potential contemporary sources of carbon at the recharge. The first notice is that except for St.</w:t>
      </w:r>
      <w:r w:rsidR="00F039AD" w:rsidRPr="00F039AD">
        <w:t xml:space="preserve"> </w:t>
      </w:r>
      <w:r w:rsidRPr="00A6413F">
        <w:t>Lazare (where no sample is available at shallow depths), the samples do show no variation of the δ</w:t>
      </w:r>
      <w:r w:rsidRPr="00A6413F">
        <w:rPr>
          <w:vertAlign w:val="superscript"/>
        </w:rPr>
        <w:t>13</w:t>
      </w:r>
      <w:r w:rsidRPr="00A6413F">
        <w:t>C</w:t>
      </w:r>
      <w:r w:rsidRPr="00A6413F">
        <w:rPr>
          <w:vertAlign w:val="subscript"/>
        </w:rPr>
        <w:t>DIC</w:t>
      </w:r>
      <w:r w:rsidRPr="00A6413F">
        <w:t xml:space="preserve"> with the depth. The second notice is that except for St.</w:t>
      </w:r>
      <w:r w:rsidR="00F039AD" w:rsidRPr="00F039AD">
        <w:t xml:space="preserve"> </w:t>
      </w:r>
      <w:r w:rsidRPr="00A6413F">
        <w:t>Lazare and Napierville</w:t>
      </w:r>
      <w:r w:rsidR="00F039AD" w:rsidRPr="00F039AD">
        <w:t xml:space="preserve"> </w:t>
      </w:r>
      <w:r w:rsidRPr="00A6413F">
        <w:t xml:space="preserve">P6, all the samples have a </w:t>
      </w:r>
      <w:r w:rsidR="007114D1" w:rsidRPr="00A6413F">
        <w:t>δ</w:t>
      </w:r>
      <w:r w:rsidR="007114D1" w:rsidRPr="00A6413F">
        <w:rPr>
          <w:vertAlign w:val="superscript"/>
        </w:rPr>
        <w:t>13</w:t>
      </w:r>
      <w:r w:rsidR="007114D1" w:rsidRPr="00A6413F">
        <w:t>C</w:t>
      </w:r>
      <w:r w:rsidR="007114D1" w:rsidRPr="00A6413F">
        <w:rPr>
          <w:vertAlign w:val="subscript"/>
        </w:rPr>
        <w:t>DIC</w:t>
      </w:r>
      <w:r w:rsidRPr="00A6413F">
        <w:rPr>
          <w:rFonts w:hint="eastAsia"/>
        </w:rPr>
        <w:t xml:space="preserve"> of about </w:t>
      </w:r>
      <w:r w:rsidR="002529A5">
        <w:rPr>
          <w:rFonts w:hint="eastAsia"/>
        </w:rPr>
        <w:t>–</w:t>
      </w:r>
      <w:r w:rsidRPr="00A6413F">
        <w:rPr>
          <w:rFonts w:hint="eastAsia"/>
        </w:rPr>
        <w:t>13</w:t>
      </w:r>
      <w:r w:rsidR="00015F1E" w:rsidRPr="00A6413F">
        <w:t>‰</w:t>
      </w:r>
      <w:r w:rsidRPr="00A6413F">
        <w:rPr>
          <w:rFonts w:hint="eastAsia"/>
        </w:rPr>
        <w:t xml:space="preserve">. Such isotopic composition would correspond to “recent” groundwater that evolved from C3 </w:t>
      </w:r>
      <w:r w:rsidR="007114D1" w:rsidRPr="00A6413F">
        <w:t>δ</w:t>
      </w:r>
      <w:r w:rsidR="007114D1" w:rsidRPr="00A6413F">
        <w:rPr>
          <w:vertAlign w:val="superscript"/>
        </w:rPr>
        <w:t>13</w:t>
      </w:r>
      <w:r w:rsidR="007114D1" w:rsidRPr="00A6413F">
        <w:t>C</w:t>
      </w:r>
      <w:r w:rsidR="007114D1" w:rsidRPr="00A6413F">
        <w:rPr>
          <w:vertAlign w:val="subscript"/>
        </w:rPr>
        <w:t>g</w:t>
      </w:r>
      <w:r w:rsidRPr="00A6413F">
        <w:rPr>
          <w:rFonts w:hint="eastAsia"/>
        </w:rPr>
        <w:t xml:space="preserve"> contributions at the recharge (i.e., </w:t>
      </w:r>
      <w:r w:rsidR="007114D1" w:rsidRPr="00A6413F">
        <w:t>δ</w:t>
      </w:r>
      <w:r w:rsidR="007114D1" w:rsidRPr="00A6413F">
        <w:rPr>
          <w:vertAlign w:val="superscript"/>
        </w:rPr>
        <w:t>13</w:t>
      </w:r>
      <w:r w:rsidR="007114D1" w:rsidRPr="00A6413F">
        <w:t>C</w:t>
      </w:r>
      <w:r w:rsidR="007114D1" w:rsidRPr="00A6413F">
        <w:rPr>
          <w:vertAlign w:val="subscript"/>
        </w:rPr>
        <w:t>g</w:t>
      </w:r>
      <w:r w:rsidR="00F039AD" w:rsidRPr="00F039AD">
        <w:t xml:space="preserve"> </w:t>
      </w:r>
      <w:r w:rsidRPr="00A6413F">
        <w:rPr>
          <w:rFonts w:hint="eastAsia"/>
        </w:rPr>
        <w:t>≈</w:t>
      </w:r>
      <w:r w:rsidR="00F039AD" w:rsidRPr="00F039AD">
        <w:t xml:space="preserve"> </w:t>
      </w:r>
      <w:r w:rsidR="002529A5">
        <w:rPr>
          <w:rFonts w:hint="eastAsia"/>
        </w:rPr>
        <w:t>–</w:t>
      </w:r>
      <w:r w:rsidRPr="00A6413F">
        <w:rPr>
          <w:rFonts w:hint="eastAsia"/>
        </w:rPr>
        <w:t>23‰ for endemic vegetation of Quebec) and reach calcite saturation with corresponding dilution and enrichment from carbonates (</w:t>
      </w:r>
      <w:r w:rsidR="007114D1" w:rsidRPr="00A6413F">
        <w:t>δ</w:t>
      </w:r>
      <w:r w:rsidR="007114D1" w:rsidRPr="00A6413F">
        <w:rPr>
          <w:vertAlign w:val="superscript"/>
        </w:rPr>
        <w:t>13</w:t>
      </w:r>
      <w:r w:rsidR="007114D1" w:rsidRPr="00A6413F">
        <w:t>C</w:t>
      </w:r>
      <w:r w:rsidR="007114D1" w:rsidRPr="00A6413F">
        <w:rPr>
          <w:vertAlign w:val="subscript"/>
        </w:rPr>
        <w:t>s</w:t>
      </w:r>
      <w:r w:rsidR="00F039AD" w:rsidRPr="00F039AD">
        <w:t xml:space="preserve"> </w:t>
      </w:r>
      <w:r w:rsidRPr="00A6413F">
        <w:rPr>
          <w:rFonts w:hint="eastAsia"/>
        </w:rPr>
        <w:t>≈</w:t>
      </w:r>
      <w:r w:rsidR="00F039AD" w:rsidRPr="00F039AD">
        <w:t xml:space="preserve"> </w:t>
      </w:r>
      <w:r w:rsidRPr="00A6413F">
        <w:rPr>
          <w:rFonts w:hint="eastAsia"/>
        </w:rPr>
        <w:t xml:space="preserve">0‰). Long and significative interaction with carbonated aquifer is unlikely as it would lead to greater </w:t>
      </w:r>
      <w:r w:rsidR="008B7CD3" w:rsidRPr="00A6413F">
        <w:t>δ</w:t>
      </w:r>
      <w:r w:rsidR="008B7CD3" w:rsidRPr="00A6413F">
        <w:rPr>
          <w:vertAlign w:val="superscript"/>
        </w:rPr>
        <w:t>13</w:t>
      </w:r>
      <w:r w:rsidR="008B7CD3" w:rsidRPr="00A6413F">
        <w:t>C</w:t>
      </w:r>
      <w:r w:rsidR="008B7CD3" w:rsidRPr="00A6413F">
        <w:rPr>
          <w:vertAlign w:val="subscript"/>
        </w:rPr>
        <w:t>DIC</w:t>
      </w:r>
      <w:r w:rsidRPr="00A6413F">
        <w:rPr>
          <w:rFonts w:hint="eastAsia"/>
        </w:rPr>
        <w:t xml:space="preserve"> enrichment, at least above </w:t>
      </w:r>
      <w:r w:rsidR="002529A5">
        <w:rPr>
          <w:rFonts w:hint="eastAsia"/>
        </w:rPr>
        <w:t>–</w:t>
      </w:r>
      <w:r w:rsidRPr="00A6413F">
        <w:rPr>
          <w:rFonts w:hint="eastAsia"/>
        </w:rPr>
        <w:t>11.5‰ (i.e.</w:t>
      </w:r>
      <w:r w:rsidR="00F039AD">
        <w:t>,</w:t>
      </w:r>
      <w:r w:rsidRPr="00A6413F">
        <w:rPr>
          <w:rFonts w:hint="eastAsia"/>
        </w:rPr>
        <w:t xml:space="preserve"> </w:t>
      </w:r>
      <w:r w:rsidR="007114D1" w:rsidRPr="00A6413F">
        <w:t>δ</w:t>
      </w:r>
      <w:r w:rsidR="007114D1" w:rsidRPr="00A6413F">
        <w:rPr>
          <w:vertAlign w:val="superscript"/>
        </w:rPr>
        <w:t>13</w:t>
      </w:r>
      <w:r w:rsidR="007114D1" w:rsidRPr="00A6413F">
        <w:t>C</w:t>
      </w:r>
      <w:r w:rsidR="007114D1" w:rsidRPr="00A6413F">
        <w:rPr>
          <w:vertAlign w:val="subscript"/>
        </w:rPr>
        <w:t>DIC</w:t>
      </w:r>
      <w:r w:rsidR="00F039AD" w:rsidRPr="00F039AD">
        <w:t xml:space="preserve"> </w:t>
      </w:r>
      <w:r w:rsidRPr="00A6413F">
        <w:rPr>
          <w:rFonts w:hint="eastAsia"/>
        </w:rPr>
        <w:t>=</w:t>
      </w:r>
      <w:r w:rsidR="00F039AD" w:rsidRPr="00F039AD">
        <w:t xml:space="preserve"> </w:t>
      </w:r>
      <w:r w:rsidR="002529A5">
        <w:rPr>
          <w:rFonts w:hint="eastAsia"/>
        </w:rPr>
        <w:t>–</w:t>
      </w:r>
      <w:r w:rsidRPr="00A6413F">
        <w:rPr>
          <w:rFonts w:hint="eastAsia"/>
        </w:rPr>
        <w:t xml:space="preserve">11.5‰ is reached at calcite saturation for closed system condition from </w:t>
      </w:r>
      <w:r w:rsidR="007114D1" w:rsidRPr="00A6413F">
        <w:t>δ</w:t>
      </w:r>
      <w:r w:rsidR="007114D1" w:rsidRPr="00A6413F">
        <w:rPr>
          <w:vertAlign w:val="superscript"/>
        </w:rPr>
        <w:t>13</w:t>
      </w:r>
      <w:r w:rsidR="007114D1" w:rsidRPr="00A6413F">
        <w:t>C</w:t>
      </w:r>
      <w:r w:rsidR="007114D1" w:rsidRPr="00A6413F">
        <w:rPr>
          <w:vertAlign w:val="subscript"/>
        </w:rPr>
        <w:t>g</w:t>
      </w:r>
      <w:r w:rsidR="00F039AD" w:rsidRPr="00F039AD">
        <w:t xml:space="preserve"> </w:t>
      </w:r>
      <w:r w:rsidRPr="00A6413F">
        <w:rPr>
          <w:rFonts w:hint="eastAsia"/>
        </w:rPr>
        <w:t>≈</w:t>
      </w:r>
      <w:r w:rsidR="00F039AD" w:rsidRPr="00F039AD">
        <w:t xml:space="preserve"> </w:t>
      </w:r>
      <w:r w:rsidR="002529A5">
        <w:rPr>
          <w:rFonts w:hint="eastAsia"/>
        </w:rPr>
        <w:t>–</w:t>
      </w:r>
      <w:r w:rsidRPr="00A6413F">
        <w:rPr>
          <w:rFonts w:hint="eastAsia"/>
        </w:rPr>
        <w:t xml:space="preserve">23‰, half diluted with </w:t>
      </w:r>
      <w:r w:rsidR="007114D1" w:rsidRPr="00A6413F">
        <w:t>δ</w:t>
      </w:r>
      <w:r w:rsidR="007114D1" w:rsidRPr="00A6413F">
        <w:rPr>
          <w:vertAlign w:val="superscript"/>
        </w:rPr>
        <w:t>13</w:t>
      </w:r>
      <w:r w:rsidR="007114D1" w:rsidRPr="00A6413F">
        <w:t>C</w:t>
      </w:r>
      <w:r w:rsidR="007114D1" w:rsidRPr="00A6413F">
        <w:rPr>
          <w:vertAlign w:val="subscript"/>
        </w:rPr>
        <w:t>s</w:t>
      </w:r>
      <w:r w:rsidR="00F039AD" w:rsidRPr="00F039AD">
        <w:t xml:space="preserve"> </w:t>
      </w:r>
      <w:r w:rsidRPr="00A6413F">
        <w:rPr>
          <w:rFonts w:hint="eastAsia"/>
        </w:rPr>
        <w:t>≈</w:t>
      </w:r>
      <w:r w:rsidR="00F039AD" w:rsidRPr="00F039AD">
        <w:t xml:space="preserve"> </w:t>
      </w:r>
      <w:r w:rsidRPr="00A6413F">
        <w:rPr>
          <w:rFonts w:hint="eastAsia"/>
        </w:rPr>
        <w:t>0‰). For all samples but St.</w:t>
      </w:r>
      <w:r w:rsidR="00F039AD" w:rsidRPr="00F039AD">
        <w:t xml:space="preserve"> </w:t>
      </w:r>
      <w:r w:rsidRPr="00A6413F">
        <w:rPr>
          <w:rFonts w:hint="eastAsia"/>
        </w:rPr>
        <w:t>Lazare and Napierville</w:t>
      </w:r>
      <w:r w:rsidR="00F039AD" w:rsidRPr="00F039AD">
        <w:t xml:space="preserve"> </w:t>
      </w:r>
      <w:r w:rsidRPr="00A6413F">
        <w:rPr>
          <w:rFonts w:hint="eastAsia"/>
        </w:rPr>
        <w:t>P6, the two notices presented above suggest the presence of well mixed and “recent” groundwater bodies at all depths, that likely did not undergo long interaction with the carbonated aquifer. For Napierville</w:t>
      </w:r>
      <w:r w:rsidR="00F039AD" w:rsidRPr="00F039AD">
        <w:t xml:space="preserve"> </w:t>
      </w:r>
      <w:r w:rsidRPr="00A6413F">
        <w:rPr>
          <w:rFonts w:hint="eastAsia"/>
        </w:rPr>
        <w:t xml:space="preserve">P6, </w:t>
      </w:r>
      <w:r w:rsidR="007114D1" w:rsidRPr="00A6413F">
        <w:t>δ</w:t>
      </w:r>
      <w:r w:rsidR="007114D1" w:rsidRPr="00A6413F">
        <w:rPr>
          <w:vertAlign w:val="superscript"/>
        </w:rPr>
        <w:t>13</w:t>
      </w:r>
      <w:r w:rsidR="007114D1" w:rsidRPr="00A6413F">
        <w:t>C</w:t>
      </w:r>
      <w:r w:rsidR="007114D1" w:rsidRPr="00A6413F">
        <w:rPr>
          <w:vertAlign w:val="subscript"/>
        </w:rPr>
        <w:t>DIC</w:t>
      </w:r>
      <w:r w:rsidRPr="00A6413F">
        <w:rPr>
          <w:rFonts w:hint="eastAsia"/>
        </w:rPr>
        <w:t xml:space="preserve"> composition of </w:t>
      </w:r>
      <w:r w:rsidR="002529A5">
        <w:rPr>
          <w:rFonts w:hint="eastAsia"/>
        </w:rPr>
        <w:t>–</w:t>
      </w:r>
      <w:r w:rsidRPr="00A6413F">
        <w:rPr>
          <w:rFonts w:hint="eastAsia"/>
        </w:rPr>
        <w:t>7.2</w:t>
      </w:r>
      <w:r w:rsidR="00015F1E" w:rsidRPr="00A6413F">
        <w:rPr>
          <w:rFonts w:hint="eastAsia"/>
        </w:rPr>
        <w:t>‰</w:t>
      </w:r>
      <w:r w:rsidR="00F039AD" w:rsidRPr="00F039AD">
        <w:t xml:space="preserve"> </w:t>
      </w:r>
      <w:r w:rsidRPr="00A6413F">
        <w:rPr>
          <w:rFonts w:hint="eastAsia"/>
        </w:rPr>
        <w:t xml:space="preserve">VPDB can be explained by potential contribution of </w:t>
      </w:r>
      <w:r w:rsidR="007114D1" w:rsidRPr="00A6413F">
        <w:t>δ</w:t>
      </w:r>
      <w:r w:rsidR="007114D1" w:rsidRPr="00A6413F">
        <w:rPr>
          <w:vertAlign w:val="superscript"/>
        </w:rPr>
        <w:t>13</w:t>
      </w:r>
      <w:r w:rsidR="007114D1" w:rsidRPr="00A6413F">
        <w:t>C</w:t>
      </w:r>
      <w:r w:rsidR="007114D1" w:rsidRPr="00A6413F">
        <w:rPr>
          <w:vertAlign w:val="subscript"/>
        </w:rPr>
        <w:t>g</w:t>
      </w:r>
      <w:r w:rsidRPr="00A6413F">
        <w:rPr>
          <w:rFonts w:hint="eastAsia"/>
        </w:rPr>
        <w:t xml:space="preserve"> from C4 vegetation (</w:t>
      </w:r>
      <w:r w:rsidR="007114D1" w:rsidRPr="00A6413F">
        <w:t>δ</w:t>
      </w:r>
      <w:r w:rsidR="007114D1" w:rsidRPr="00A6413F">
        <w:rPr>
          <w:vertAlign w:val="superscript"/>
        </w:rPr>
        <w:t>13</w:t>
      </w:r>
      <w:r w:rsidR="007114D1" w:rsidRPr="00A6413F">
        <w:t>C</w:t>
      </w:r>
      <w:r w:rsidR="007114D1" w:rsidRPr="00A6413F">
        <w:rPr>
          <w:vertAlign w:val="subscript"/>
        </w:rPr>
        <w:t>g</w:t>
      </w:r>
      <w:r w:rsidR="00F039AD" w:rsidRPr="00F039AD">
        <w:t xml:space="preserve"> </w:t>
      </w:r>
      <w:r w:rsidRPr="00A6413F">
        <w:rPr>
          <w:rFonts w:hint="eastAsia"/>
        </w:rPr>
        <w:t>≈</w:t>
      </w:r>
      <w:r w:rsidR="00F039AD" w:rsidRPr="00F039AD">
        <w:t xml:space="preserve"> </w:t>
      </w:r>
      <w:r w:rsidR="002529A5">
        <w:rPr>
          <w:rFonts w:hint="eastAsia"/>
        </w:rPr>
        <w:t>–</w:t>
      </w:r>
      <w:r w:rsidRPr="00A6413F">
        <w:rPr>
          <w:rFonts w:hint="eastAsia"/>
        </w:rPr>
        <w:t>12.5‰) as corn fields are present around this site, as well as poss</w:t>
      </w:r>
      <w:r w:rsidRPr="00A6413F">
        <w:t>ible presence of “old” water bodies that undergo long interaction with the carbonated aquifer. However, the presence of old water bodies for Napierville</w:t>
      </w:r>
      <w:r w:rsidR="00F039AD" w:rsidRPr="00F039AD">
        <w:t xml:space="preserve"> </w:t>
      </w:r>
      <w:r w:rsidRPr="00A6413F">
        <w:t>P6 at all depths appears inconsistent with unconfined conditions inferred at this site (Section 2.1), and because saturation towards calcite is not even reached for all these samples (Figures 13 and 14). Thus, it is believed that groundwater at Napierville</w:t>
      </w:r>
      <w:r w:rsidR="00F039AD" w:rsidRPr="00F039AD">
        <w:t xml:space="preserve"> </w:t>
      </w:r>
      <w:r w:rsidRPr="00A6413F">
        <w:t>P6 are “recent”, impacted by contemporary C4 vegetation (corn fields) and well mixed overall within the aquifer. The case of St.</w:t>
      </w:r>
      <w:r w:rsidR="00F039AD" w:rsidRPr="00F039AD">
        <w:t xml:space="preserve"> </w:t>
      </w:r>
      <w:r w:rsidRPr="00A6413F">
        <w:t xml:space="preserve">Lazare is more complicated as </w:t>
      </w:r>
      <w:r w:rsidR="007114D1" w:rsidRPr="00A6413F">
        <w:t>δ</w:t>
      </w:r>
      <w:r w:rsidR="007114D1" w:rsidRPr="00A6413F">
        <w:rPr>
          <w:vertAlign w:val="superscript"/>
        </w:rPr>
        <w:t>13</w:t>
      </w:r>
      <w:r w:rsidR="007114D1" w:rsidRPr="00A6413F">
        <w:t>C</w:t>
      </w:r>
      <w:r w:rsidR="007114D1" w:rsidRPr="00A6413F">
        <w:rPr>
          <w:vertAlign w:val="subscript"/>
        </w:rPr>
        <w:t>DIC</w:t>
      </w:r>
      <w:r w:rsidRPr="00A6413F">
        <w:t xml:space="preserve"> are as enriched as </w:t>
      </w:r>
      <w:r w:rsidR="002529A5">
        <w:t>–</w:t>
      </w:r>
      <w:r w:rsidRPr="00A6413F">
        <w:t xml:space="preserve">5.9 and </w:t>
      </w:r>
      <w:r w:rsidR="002529A5">
        <w:t>–</w:t>
      </w:r>
      <w:r w:rsidRPr="00A6413F">
        <w:t xml:space="preserve">6.6‰ VPDB, but no data is available at shallow depths to argue about potential </w:t>
      </w:r>
      <w:r w:rsidR="007114D1" w:rsidRPr="00A6413F">
        <w:t>δ</w:t>
      </w:r>
      <w:r w:rsidR="007114D1" w:rsidRPr="00A6413F">
        <w:rPr>
          <w:vertAlign w:val="superscript"/>
        </w:rPr>
        <w:t>13</w:t>
      </w:r>
      <w:r w:rsidR="007114D1" w:rsidRPr="00A6413F">
        <w:t>C</w:t>
      </w:r>
      <w:r w:rsidR="007114D1" w:rsidRPr="00A6413F">
        <w:rPr>
          <w:vertAlign w:val="subscript"/>
        </w:rPr>
        <w:t>DIC</w:t>
      </w:r>
      <w:r w:rsidRPr="00A6413F">
        <w:t xml:space="preserve"> enrichment (εCO</w:t>
      </w:r>
      <w:r w:rsidRPr="00A6413F">
        <w:rPr>
          <w:vertAlign w:val="subscript"/>
        </w:rPr>
        <w:t>2</w:t>
      </w:r>
      <w:r w:rsidRPr="00A6413F">
        <w:t>/DIC fractionation) within the vadose zone and/or due to long water/carbonate aquifer interaction within the saturated zone at depth. St.</w:t>
      </w:r>
      <w:r w:rsidR="00F039AD" w:rsidRPr="00F039AD">
        <w:t xml:space="preserve"> </w:t>
      </w:r>
      <w:r w:rsidRPr="00A6413F">
        <w:t>Lazare site has a thick unsaturated zone (27</w:t>
      </w:r>
      <w:r w:rsidR="00F039AD" w:rsidRPr="00F039AD">
        <w:t xml:space="preserve"> </w:t>
      </w:r>
      <w:r w:rsidRPr="00A6413F">
        <w:t xml:space="preserve">m) that would likely lead to </w:t>
      </w:r>
      <w:r w:rsidR="007114D1" w:rsidRPr="00A6413F">
        <w:t>δ</w:t>
      </w:r>
      <w:r w:rsidR="007114D1" w:rsidRPr="00A6413F">
        <w:rPr>
          <w:vertAlign w:val="superscript"/>
        </w:rPr>
        <w:t>13</w:t>
      </w:r>
      <w:r w:rsidR="007114D1" w:rsidRPr="00A6413F">
        <w:t>C</w:t>
      </w:r>
      <w:r w:rsidR="007114D1" w:rsidRPr="00A6413F">
        <w:rPr>
          <w:vertAlign w:val="subscript"/>
        </w:rPr>
        <w:t>DIC</w:t>
      </w:r>
      <w:r w:rsidRPr="00A6413F">
        <w:t xml:space="preserve"> enrichment because of fractionation with soil CO</w:t>
      </w:r>
      <w:r w:rsidRPr="00A6413F">
        <w:rPr>
          <w:vertAlign w:val="subscript"/>
        </w:rPr>
        <w:t>2</w:t>
      </w:r>
      <w:r w:rsidRPr="00A6413F">
        <w:t xml:space="preserve"> before reaching the saturated zone. St.</w:t>
      </w:r>
      <w:r w:rsidR="00F039AD" w:rsidRPr="00F039AD">
        <w:t xml:space="preserve"> </w:t>
      </w:r>
      <w:r w:rsidRPr="00A6413F">
        <w:t>Lazare wellbore is installed in sandstone (Potsdam Group) composed of</w:t>
      </w:r>
      <w:r w:rsidR="00B318E8" w:rsidRPr="00A6413F">
        <w:t xml:space="preserve"> up to</w:t>
      </w:r>
      <w:r w:rsidRPr="00A6413F">
        <w:t xml:space="preserve"> 99% of quartzite with a clayey cementation [2</w:t>
      </w:r>
      <w:r w:rsidR="003573E8">
        <w:t>7</w:t>
      </w:r>
      <w:r w:rsidRPr="00A6413F">
        <w:t xml:space="preserve">]. </w:t>
      </w:r>
      <w:r w:rsidR="00CE1C60">
        <w:t xml:space="preserve">However, </w:t>
      </w:r>
      <w:r w:rsidRPr="00A6413F">
        <w:t>it is also reported that the cement of this sandstone can contains calcite in variable proportion [5</w:t>
      </w:r>
      <w:r w:rsidR="003573E8">
        <w:t>5</w:t>
      </w:r>
      <w:r w:rsidRPr="00A6413F">
        <w:t xml:space="preserve">], so that </w:t>
      </w:r>
      <w:r w:rsidR="007114D1" w:rsidRPr="00A6413F">
        <w:t>δ</w:t>
      </w:r>
      <w:r w:rsidR="007114D1" w:rsidRPr="00A6413F">
        <w:rPr>
          <w:vertAlign w:val="superscript"/>
        </w:rPr>
        <w:t>13</w:t>
      </w:r>
      <w:r w:rsidR="007114D1" w:rsidRPr="00A6413F">
        <w:t>C</w:t>
      </w:r>
      <w:r w:rsidR="007114D1" w:rsidRPr="00A6413F">
        <w:rPr>
          <w:vertAlign w:val="subscript"/>
        </w:rPr>
        <w:t>DIC</w:t>
      </w:r>
      <w:r w:rsidRPr="00A6413F">
        <w:t xml:space="preserve"> evolution due to long </w:t>
      </w:r>
      <w:r w:rsidRPr="00A6413F">
        <w:lastRenderedPageBreak/>
        <w:t xml:space="preserve">interaction with carbonate within the Potsdam sandstone </w:t>
      </w:r>
      <w:r w:rsidR="00CE1C60" w:rsidRPr="00A6413F">
        <w:t>cannot</w:t>
      </w:r>
      <w:r w:rsidR="003D3AF8" w:rsidRPr="00A6413F">
        <w:t xml:space="preserve"> be excluded</w:t>
      </w:r>
      <w:r w:rsidRPr="00A6413F">
        <w:t xml:space="preserve">. Heavy </w:t>
      </w:r>
      <w:r w:rsidR="007114D1" w:rsidRPr="00A6413F">
        <w:t>δ</w:t>
      </w:r>
      <w:r w:rsidR="007114D1" w:rsidRPr="00A6413F">
        <w:rPr>
          <w:vertAlign w:val="superscript"/>
        </w:rPr>
        <w:t>13</w:t>
      </w:r>
      <w:r w:rsidR="007114D1" w:rsidRPr="00A6413F">
        <w:t>C</w:t>
      </w:r>
      <w:r w:rsidR="007114D1" w:rsidRPr="00A6413F">
        <w:rPr>
          <w:vertAlign w:val="subscript"/>
        </w:rPr>
        <w:t>DIC</w:t>
      </w:r>
      <w:r w:rsidRPr="00A6413F">
        <w:t xml:space="preserve"> measured for St.</w:t>
      </w:r>
      <w:r w:rsidR="00F039AD" w:rsidRPr="00F039AD">
        <w:t xml:space="preserve"> </w:t>
      </w:r>
      <w:r w:rsidRPr="00A6413F">
        <w:t>Lazare can also very well be the result of significant contributions of C4 carbon from effluents of individual residential septic systems that are numerous in this area. Such impact from septic system remains however relatively unlikely as nitrates were not detected within the St.</w:t>
      </w:r>
      <w:r w:rsidR="00F039AD" w:rsidRPr="00F039AD">
        <w:t xml:space="preserve"> </w:t>
      </w:r>
      <w:r w:rsidRPr="00A6413F">
        <w:t xml:space="preserve">Lazare Samples. </w:t>
      </w:r>
      <w:r w:rsidR="00CE1C60">
        <w:t xml:space="preserve">However, </w:t>
      </w:r>
      <w:r w:rsidRPr="00A6413F">
        <w:t>given data available only at depth greater that 79</w:t>
      </w:r>
      <w:r w:rsidR="00F039AD" w:rsidRPr="00F039AD">
        <w:t xml:space="preserve"> </w:t>
      </w:r>
      <w:r w:rsidRPr="00A6413F">
        <w:t>m, and without other insights from other tracer, it is unfortunately not possible to argue about the presence of recent or ancient groundwater, or a mix of both, within the St.</w:t>
      </w:r>
      <w:r w:rsidR="00F039AD" w:rsidRPr="00F039AD">
        <w:t xml:space="preserve"> </w:t>
      </w:r>
      <w:r w:rsidRPr="00A6413F">
        <w:t>Lazare aquifer.</w:t>
      </w:r>
    </w:p>
    <w:p w14:paraId="26B77B16" w14:textId="0767F419" w:rsidR="00986F3A" w:rsidRPr="00627019" w:rsidRDefault="00627019" w:rsidP="00627019">
      <w:pPr>
        <w:pStyle w:val="MDPI22heading2"/>
        <w:spacing w:before="240"/>
      </w:pPr>
      <w:r w:rsidRPr="00627019">
        <w:t xml:space="preserve">5.4. </w:t>
      </w:r>
      <w:r w:rsidR="00986F3A" w:rsidRPr="00627019">
        <w:t xml:space="preserve">Flowing </w:t>
      </w:r>
      <w:r w:rsidR="002D6D08" w:rsidRPr="00627019">
        <w:t xml:space="preserve">Systems Inferred </w:t>
      </w:r>
      <w:r w:rsidR="002D6D08">
        <w:t>f</w:t>
      </w:r>
      <w:r w:rsidR="002D6D08" w:rsidRPr="00627019">
        <w:t xml:space="preserve">rom Hydrogeochemistry </w:t>
      </w:r>
      <w:r w:rsidR="002D6D08">
        <w:t>w</w:t>
      </w:r>
      <w:r w:rsidR="002D6D08" w:rsidRPr="00627019">
        <w:t xml:space="preserve">ithin </w:t>
      </w:r>
      <w:r w:rsidR="002D6D08">
        <w:t>t</w:t>
      </w:r>
      <w:r w:rsidR="002D6D08" w:rsidRPr="00627019">
        <w:t>he Fractured Aquifers</w:t>
      </w:r>
    </w:p>
    <w:p w14:paraId="67F9C073" w14:textId="590FEC31" w:rsidR="00986F3A" w:rsidRDefault="00986F3A" w:rsidP="00986F3A">
      <w:pPr>
        <w:pStyle w:val="MDPI31text"/>
      </w:pPr>
      <w:r w:rsidRPr="00A6413F">
        <w:t xml:space="preserve">All the observations concerning mineralization from the </w:t>
      </w:r>
      <w:proofErr w:type="spellStart"/>
      <w:r w:rsidRPr="00A6413F">
        <w:t>calco</w:t>
      </w:r>
      <w:proofErr w:type="spellEnd"/>
      <w:r w:rsidR="002529A5">
        <w:t>–</w:t>
      </w:r>
      <w:r w:rsidRPr="00A6413F">
        <w:t>carbonic system, SO</w:t>
      </w:r>
      <w:r w:rsidRPr="00A6413F">
        <w:rPr>
          <w:vertAlign w:val="subscript"/>
        </w:rPr>
        <w:t>4</w:t>
      </w:r>
      <w:r w:rsidRPr="00A6413F">
        <w:rPr>
          <w:vertAlign w:val="superscript"/>
        </w:rPr>
        <w:t>2</w:t>
      </w:r>
      <w:r w:rsidR="002529A5">
        <w:rPr>
          <w:vertAlign w:val="superscript"/>
        </w:rPr>
        <w:t>–</w:t>
      </w:r>
      <w:r w:rsidRPr="00A6413F">
        <w:t xml:space="preserve"> and Cl</w:t>
      </w:r>
      <w:r w:rsidR="002529A5">
        <w:rPr>
          <w:vertAlign w:val="superscript"/>
        </w:rPr>
        <w:t>–</w:t>
      </w:r>
      <w:r w:rsidRPr="00A6413F">
        <w:t xml:space="preserve"> inputs, road salt pollution and stable isotopes (δ</w:t>
      </w:r>
      <w:r w:rsidRPr="00A6413F">
        <w:rPr>
          <w:vertAlign w:val="superscript"/>
        </w:rPr>
        <w:t>13</w:t>
      </w:r>
      <w:r w:rsidRPr="00A6413F">
        <w:t>C, δ</w:t>
      </w:r>
      <w:r w:rsidRPr="00A6413F">
        <w:rPr>
          <w:vertAlign w:val="superscript"/>
        </w:rPr>
        <w:t>2</w:t>
      </w:r>
      <w:r w:rsidRPr="00A6413F">
        <w:t>H and δ</w:t>
      </w:r>
      <w:r w:rsidRPr="00A6413F">
        <w:rPr>
          <w:vertAlign w:val="superscript"/>
        </w:rPr>
        <w:t>18</w:t>
      </w:r>
      <w:r w:rsidRPr="00A6413F">
        <w:t>O) indicate for each site similar water bodies that do not vary greatly with the depth, suggesting the presence of strong mixing conditions in the fractured aquifers investigated. SO</w:t>
      </w:r>
      <w:r w:rsidRPr="00A6413F">
        <w:rPr>
          <w:vertAlign w:val="subscript"/>
        </w:rPr>
        <w:t>4</w:t>
      </w:r>
      <w:r w:rsidRPr="00A6413F">
        <w:rPr>
          <w:vertAlign w:val="superscript"/>
        </w:rPr>
        <w:t>2</w:t>
      </w:r>
      <w:r w:rsidR="002529A5">
        <w:rPr>
          <w:vertAlign w:val="superscript"/>
        </w:rPr>
        <w:t>–</w:t>
      </w:r>
      <w:r w:rsidRPr="00A6413F">
        <w:t xml:space="preserve"> contributions may slightly increase with the depth (Figures 10 and 11), still suggesting prevalent mixing conditions at all depths but the presence of some less permeable zones at depth. It is believed that higher salinities found at depths for the Abbotsford wellbores would be the result of accumulation of road salt’s pollution in stagnant water at the bottom of the wellbore, due to extremely low permeability of the aquifer at depth at this location. Otherwise, mixing condition appears to generally prevail in productive fractured aquifers down to depths of about 100</w:t>
      </w:r>
      <w:r w:rsidR="00F039AD" w:rsidRPr="00F039AD">
        <w:t xml:space="preserve"> </w:t>
      </w:r>
      <w:r w:rsidRPr="00A6413F">
        <w:t>m (maximum depth investigated). The residence times of the water bodies cannot be quantified without the use of other environmental tracers, but the available data suggest significant contributions of contemporary water according to anthropogenic pollution (road salts, C4 carbon sources) typical of the post</w:t>
      </w:r>
      <w:r w:rsidR="002529A5">
        <w:t>–</w:t>
      </w:r>
      <w:r w:rsidRPr="00A6413F">
        <w:t>industrial area (post 1950), and poorly evolved waters according to the δ</w:t>
      </w:r>
      <w:r w:rsidRPr="00A6413F">
        <w:rPr>
          <w:vertAlign w:val="superscript"/>
        </w:rPr>
        <w:t>13</w:t>
      </w:r>
      <w:r w:rsidRPr="00A6413F">
        <w:t xml:space="preserve">C. It is likely that quick flows are effective because of the low secondary porosity of the fractured </w:t>
      </w:r>
      <w:r w:rsidR="005D7C59" w:rsidRPr="00A6413F">
        <w:t>aquifers</w:t>
      </w:r>
      <w:r w:rsidRPr="00A6413F">
        <w:t xml:space="preserve"> (reported as low as 1% on average for the studied wellbores [</w:t>
      </w:r>
      <w:r w:rsidR="003573E8">
        <w:t>42</w:t>
      </w:r>
      <w:r w:rsidRPr="00A6413F">
        <w:t>]), and</w:t>
      </w:r>
      <w:r>
        <w:t xml:space="preserve"> that the mixing of water until great depths is possible because of an overall well interconnected distribution of fractures into the aquifer. </w:t>
      </w:r>
      <w:proofErr w:type="gramStart"/>
      <w:r>
        <w:t>Both of these</w:t>
      </w:r>
      <w:proofErr w:type="gramEnd"/>
      <w:r>
        <w:t xml:space="preserve"> effects apparently prevail in natural conditions (i.e., as for Chateauguay wellbore), but are very likely enhanced by nearby municipal pumping (as for the situation of more than half of the wellbores studied) which are modifying natural flowing regime by inducing forced drainage of the aquifers.</w:t>
      </w:r>
    </w:p>
    <w:p w14:paraId="7358E439" w14:textId="54EECCE2" w:rsidR="00986F3A" w:rsidRDefault="00986F3A" w:rsidP="00F30CDA">
      <w:pPr>
        <w:pStyle w:val="MDPI21heading1"/>
      </w:pPr>
      <w:r>
        <w:t xml:space="preserve">6. </w:t>
      </w:r>
      <w:r w:rsidR="00F30CDA">
        <w:t>Conclusions</w:t>
      </w:r>
    </w:p>
    <w:p w14:paraId="343866DA" w14:textId="37856FD3" w:rsidR="00986F3A" w:rsidRDefault="00986F3A" w:rsidP="00986F3A">
      <w:pPr>
        <w:pStyle w:val="MDPI31text"/>
      </w:pPr>
      <w:r>
        <w:t xml:space="preserve">Through laboratory testing, the equilibration of passive samplers was demonstrated to be achieved within 4 </w:t>
      </w:r>
      <w:r w:rsidR="00F039AD">
        <w:t>h</w:t>
      </w:r>
      <w:r>
        <w:t>. The use of passive samplers appears particularly suitable and relatively simple for the sequential sampling of solutes regarding groundwater quality (major ions) and for stable isotopes (δ</w:t>
      </w:r>
      <w:r w:rsidRPr="007114D1">
        <w:rPr>
          <w:vertAlign w:val="superscript"/>
        </w:rPr>
        <w:t>2</w:t>
      </w:r>
      <w:r>
        <w:t>H, δ</w:t>
      </w:r>
      <w:r w:rsidRPr="007114D1">
        <w:rPr>
          <w:vertAlign w:val="superscript"/>
        </w:rPr>
        <w:t>18</w:t>
      </w:r>
      <w:r>
        <w:t>O and δ</w:t>
      </w:r>
      <w:r w:rsidRPr="007114D1">
        <w:rPr>
          <w:vertAlign w:val="superscript"/>
        </w:rPr>
        <w:t>13</w:t>
      </w:r>
      <w:r>
        <w:t xml:space="preserve">C). Regardless of the method, the interpretation of the chemistry gathered through sequential sampling in fractured aquifers is strongly enhanced when coupled with borehole logging investigations within long screened </w:t>
      </w:r>
      <w:r w:rsidRPr="00A6413F">
        <w:t xml:space="preserve">wellbores. Otherwise, “sampling depth” and/or “total wellbore depth” become ambiguous parameters regarding the interpretation of the groundwater chemistry with the depth. The sequential sampling campaign is generally pointing at </w:t>
      </w:r>
      <w:r w:rsidR="008B7CD3" w:rsidRPr="00A6413F">
        <w:t xml:space="preserve">not </w:t>
      </w:r>
      <w:r w:rsidRPr="00A6413F">
        <w:t>significant hydrogeochemical stratification within the wellbores investigated. As inferred from ionic composition, pollution from de</w:t>
      </w:r>
      <w:r w:rsidR="002529A5">
        <w:t>–</w:t>
      </w:r>
      <w:r w:rsidRPr="00A6413F">
        <w:t xml:space="preserve">icing road salts and stable isotopes, groundwater bodies appear relatively well mixed among “recent” groundwater contributions for depth up to 100 m, especially, but not only, when the wellbores are influenced by nearby anthropogenic withdrawn. Although the fractures observed in the wells are generally discrete and relatively </w:t>
      </w:r>
      <w:proofErr w:type="gramStart"/>
      <w:r w:rsidRPr="00A6413F">
        <w:t>few in number</w:t>
      </w:r>
      <w:proofErr w:type="gramEnd"/>
      <w:r w:rsidRPr="00A6413F">
        <w:t>, the finding of mixed water observed up to significant depths suggests that the fracture networks</w:t>
      </w:r>
      <w:r>
        <w:t xml:space="preserve"> are extensive and well interconnected overall. Such findings are also pointing to the fact that the water resource is available and likely vulnerable to contamination from the surface, even at significant depths in the fractured </w:t>
      </w:r>
      <w:r w:rsidR="005D7C59">
        <w:t>aquifer</w:t>
      </w:r>
      <w:r>
        <w:t xml:space="preserve">. Quantitative estimation of groundwater residence time is not presented in this present </w:t>
      </w:r>
      <w:r>
        <w:lastRenderedPageBreak/>
        <w:t>article, but further work implying the passive sampling of other environmental tracers would be highly valuable to improve and to specify the understanding of the flow systems in place.</w:t>
      </w:r>
    </w:p>
    <w:p w14:paraId="72CE94AE" w14:textId="3FFA818F" w:rsidR="00986F3A" w:rsidRPr="00A6413F" w:rsidRDefault="00986F3A" w:rsidP="00986F3A">
      <w:pPr>
        <w:pStyle w:val="MDPI31text"/>
      </w:pPr>
      <w:r>
        <w:t xml:space="preserve">Finally, since vertical hydrogeochemical stratification is not prevalent over a depth of 100 m, conventional sampling of the pumped mixture at the wells would have given similar results as those currently presented with the use of sequential sampling. It is possible in these conditions that the use of sequential sampling in fractured aquifers of the study area is rather relevant at depths exceeding 100 m and for wells likely crosscutting different </w:t>
      </w:r>
      <w:r w:rsidRPr="00A6413F">
        <w:t xml:space="preserve">sedimentary permeable formations. However, there </w:t>
      </w:r>
      <w:r w:rsidR="004C2FAE">
        <w:t>are</w:t>
      </w:r>
      <w:r w:rsidRPr="00A6413F">
        <w:t xml:space="preserve"> no such data available to suggest at what depth the hydrogeochemical stratification would become significant in the region. Furthermore, given the very limited number of wells studied in this work, the </w:t>
      </w:r>
      <w:proofErr w:type="gramStart"/>
      <w:r w:rsidRPr="00A6413F">
        <w:t>weak</w:t>
      </w:r>
      <w:proofErr w:type="gramEnd"/>
      <w:r w:rsidRPr="00A6413F">
        <w:t xml:space="preserve"> hydrogeochemical stratification until depth of 100 m cannot be generalized because in certain places, and according to different contexts that have not yet been explored, such chemical stratification may be more apparent within 100 m of depth.</w:t>
      </w:r>
    </w:p>
    <w:p w14:paraId="41CCA1D1" w14:textId="4B69576C" w:rsidR="00E94B1B" w:rsidRPr="00613B31" w:rsidRDefault="001B45E6" w:rsidP="001B45E6">
      <w:pPr>
        <w:pStyle w:val="MDPI62BackMatter"/>
        <w:spacing w:before="240"/>
      </w:pPr>
      <w:r w:rsidRPr="001B45E6">
        <w:rPr>
          <w:b/>
        </w:rPr>
        <w:t>Author Contribution</w:t>
      </w:r>
      <w:r w:rsidR="00E94B1B" w:rsidRPr="001B45E6">
        <w:rPr>
          <w:b/>
        </w:rPr>
        <w:t xml:space="preserve">s: </w:t>
      </w:r>
      <w:r w:rsidR="00E23472" w:rsidRPr="00E23472">
        <w:t>Conceptualization, G</w:t>
      </w:r>
      <w:r w:rsidR="001A7900">
        <w:t>.</w:t>
      </w:r>
      <w:r w:rsidR="00E23472" w:rsidRPr="00E23472">
        <w:t>M</w:t>
      </w:r>
      <w:r w:rsidR="001A7900">
        <w:t>.</w:t>
      </w:r>
      <w:r w:rsidR="00E23472" w:rsidRPr="00E23472">
        <w:t xml:space="preserve"> and F</w:t>
      </w:r>
      <w:r w:rsidR="001A7900">
        <w:t>.</w:t>
      </w:r>
      <w:r w:rsidR="00E23472" w:rsidRPr="00E23472">
        <w:t>B</w:t>
      </w:r>
      <w:r w:rsidR="001A7900">
        <w:t>.</w:t>
      </w:r>
      <w:r w:rsidR="00E23472" w:rsidRPr="00E23472">
        <w:t xml:space="preserve">; Data curation, </w:t>
      </w:r>
      <w:r w:rsidR="001A7900">
        <w:t>G.M.</w:t>
      </w:r>
      <w:r w:rsidR="00E23472" w:rsidRPr="00E23472">
        <w:t xml:space="preserve">; Funding acquisition, </w:t>
      </w:r>
      <w:r w:rsidR="001A7900">
        <w:t>G.M.</w:t>
      </w:r>
      <w:r w:rsidR="00E23472" w:rsidRPr="00E23472">
        <w:t xml:space="preserve">, </w:t>
      </w:r>
      <w:r w:rsidR="001A7900">
        <w:t>F.B.</w:t>
      </w:r>
      <w:r w:rsidR="00E23472" w:rsidRPr="00E23472">
        <w:t xml:space="preserve">, </w:t>
      </w:r>
      <w:r w:rsidR="001A7900">
        <w:t>J.-M.L.</w:t>
      </w:r>
      <w:r w:rsidR="00E23472" w:rsidRPr="00E23472">
        <w:t xml:space="preserve"> and </w:t>
      </w:r>
      <w:r w:rsidR="001A7900">
        <w:t>R.M.</w:t>
      </w:r>
      <w:r w:rsidR="00E23472" w:rsidRPr="00E23472">
        <w:t xml:space="preserve">; Investigation, </w:t>
      </w:r>
      <w:r w:rsidR="009E0829">
        <w:t>G.M.</w:t>
      </w:r>
      <w:r w:rsidR="00E23472" w:rsidRPr="00E23472">
        <w:t xml:space="preserve">; Methodology, </w:t>
      </w:r>
      <w:r w:rsidR="009E0829">
        <w:t>G.M.</w:t>
      </w:r>
      <w:r w:rsidR="00E23472" w:rsidRPr="00E23472">
        <w:t xml:space="preserve">, </w:t>
      </w:r>
      <w:r w:rsidR="009E0829">
        <w:t>F.B.</w:t>
      </w:r>
      <w:r w:rsidR="00E23472" w:rsidRPr="00E23472">
        <w:t xml:space="preserve"> and </w:t>
      </w:r>
      <w:r w:rsidR="009E0829">
        <w:t>J.C.A.</w:t>
      </w:r>
      <w:r w:rsidR="00E23472" w:rsidRPr="00E23472">
        <w:t xml:space="preserve">; Resources, </w:t>
      </w:r>
      <w:r w:rsidR="009E0829">
        <w:t>F.B.</w:t>
      </w:r>
      <w:r w:rsidR="00E23472" w:rsidRPr="00E23472">
        <w:t xml:space="preserve">, </w:t>
      </w:r>
      <w:r w:rsidR="009E0829">
        <w:t xml:space="preserve">J.–M.L. </w:t>
      </w:r>
      <w:r w:rsidR="00E23472" w:rsidRPr="00E23472">
        <w:t xml:space="preserve">and </w:t>
      </w:r>
      <w:r w:rsidR="009E0829">
        <w:t>R.M.</w:t>
      </w:r>
      <w:r w:rsidR="00E23472" w:rsidRPr="00E23472">
        <w:t xml:space="preserve">; Supervision, </w:t>
      </w:r>
      <w:r w:rsidR="009E0829">
        <w:t>F.B.</w:t>
      </w:r>
      <w:r w:rsidR="00E23472" w:rsidRPr="00E23472">
        <w:t xml:space="preserve"> and </w:t>
      </w:r>
      <w:r w:rsidR="005D316A">
        <w:t>J.C.A.</w:t>
      </w:r>
      <w:r w:rsidR="00E23472" w:rsidRPr="00E23472">
        <w:t xml:space="preserve">; Validation, </w:t>
      </w:r>
      <w:r w:rsidR="005D316A">
        <w:t>G.M.</w:t>
      </w:r>
      <w:r w:rsidR="00E23472" w:rsidRPr="00E23472">
        <w:t xml:space="preserve">, </w:t>
      </w:r>
      <w:r w:rsidR="005D316A">
        <w:t>F.B.</w:t>
      </w:r>
      <w:r w:rsidR="00E23472" w:rsidRPr="00E23472">
        <w:t xml:space="preserve">, </w:t>
      </w:r>
      <w:r w:rsidR="005D316A">
        <w:t>J.C.A.</w:t>
      </w:r>
      <w:r w:rsidR="00E23472" w:rsidRPr="00E23472">
        <w:t xml:space="preserve"> and </w:t>
      </w:r>
      <w:r w:rsidR="005D316A">
        <w:t>D.L.G.</w:t>
      </w:r>
      <w:r w:rsidR="00E23472" w:rsidRPr="00E23472">
        <w:t xml:space="preserve">; </w:t>
      </w:r>
      <w:r w:rsidR="00CE1C60">
        <w:t>Writing—</w:t>
      </w:r>
      <w:r w:rsidR="00E23472" w:rsidRPr="005D316A">
        <w:t xml:space="preserve">original draft, </w:t>
      </w:r>
      <w:r w:rsidR="005D316A">
        <w:t>G.M.</w:t>
      </w:r>
      <w:r w:rsidR="00E23472" w:rsidRPr="005D316A">
        <w:t xml:space="preserve">, </w:t>
      </w:r>
      <w:r w:rsidR="005D316A">
        <w:t>J.C.A.</w:t>
      </w:r>
      <w:r w:rsidR="00E23472" w:rsidRPr="005D316A">
        <w:t xml:space="preserve"> and </w:t>
      </w:r>
      <w:r w:rsidR="005D316A">
        <w:t>D.L.G.</w:t>
      </w:r>
      <w:r w:rsidR="00E23472" w:rsidRPr="005D316A">
        <w:t xml:space="preserve">; </w:t>
      </w:r>
      <w:r w:rsidR="00CE1C60">
        <w:t>Writing—review and editing</w:t>
      </w:r>
      <w:r w:rsidR="00E23472" w:rsidRPr="005D316A">
        <w:t xml:space="preserve">, </w:t>
      </w:r>
      <w:r w:rsidR="005D316A">
        <w:t>G.M.</w:t>
      </w:r>
      <w:r w:rsidR="00E23472" w:rsidRPr="005D316A">
        <w:t xml:space="preserve">, </w:t>
      </w:r>
      <w:r w:rsidR="00747C14">
        <w:t>F.B.</w:t>
      </w:r>
      <w:r w:rsidR="00E23472" w:rsidRPr="005D316A">
        <w:t xml:space="preserve">, </w:t>
      </w:r>
      <w:r w:rsidR="00747C14">
        <w:t>J.C.A.</w:t>
      </w:r>
      <w:r w:rsidR="00E23472" w:rsidRPr="005D316A">
        <w:t xml:space="preserve">, </w:t>
      </w:r>
      <w:r w:rsidR="00747C14">
        <w:t>D.L.P.</w:t>
      </w:r>
      <w:r w:rsidR="00E23472" w:rsidRPr="005D316A">
        <w:t xml:space="preserve">, </w:t>
      </w:r>
      <w:r w:rsidR="00747C14">
        <w:t xml:space="preserve">J.–M.L. </w:t>
      </w:r>
      <w:r w:rsidR="00E23472" w:rsidRPr="005D316A">
        <w:t xml:space="preserve">and </w:t>
      </w:r>
      <w:proofErr w:type="gramStart"/>
      <w:r w:rsidR="00747C14">
        <w:t>R.M.</w:t>
      </w:r>
      <w:r w:rsidR="00E23472" w:rsidRPr="005D316A">
        <w:t>.</w:t>
      </w:r>
      <w:proofErr w:type="gramEnd"/>
      <w:r w:rsidR="00E94B1B" w:rsidRPr="005D316A">
        <w:t xml:space="preserve"> All authors have read and agreed to the published version of the</w:t>
      </w:r>
      <w:r w:rsidR="00E94B1B" w:rsidRPr="00613B31">
        <w:t xml:space="preserve"> manuscript.</w:t>
      </w:r>
    </w:p>
    <w:p w14:paraId="6268A1CB" w14:textId="7C4C396D" w:rsidR="00E94B1B" w:rsidRDefault="00E94B1B" w:rsidP="001B45E6">
      <w:pPr>
        <w:pStyle w:val="MDPI62BackMatter"/>
      </w:pPr>
      <w:r w:rsidRPr="001B45E6">
        <w:rPr>
          <w:b/>
        </w:rPr>
        <w:t>Funding:</w:t>
      </w:r>
      <w:r w:rsidRPr="00613B31">
        <w:t xml:space="preserve"> This research was funded by </w:t>
      </w:r>
      <w:r w:rsidR="005466B5" w:rsidRPr="005466B5">
        <w:t>the Natural Sciences and Engineering Research Council of Canada</w:t>
      </w:r>
      <w:r w:rsidRPr="00613B31">
        <w:t>, grant</w:t>
      </w:r>
      <w:r w:rsidR="005466B5" w:rsidRPr="005466B5">
        <w:t xml:space="preserve"> “</w:t>
      </w:r>
      <w:proofErr w:type="spellStart"/>
      <w:r w:rsidR="005466B5" w:rsidRPr="005D316A">
        <w:rPr>
          <w:i/>
          <w:iCs/>
        </w:rPr>
        <w:t>For’Age</w:t>
      </w:r>
      <w:proofErr w:type="spellEnd"/>
      <w:r w:rsidR="005466B5" w:rsidRPr="005D316A">
        <w:rPr>
          <w:i/>
          <w:iCs/>
        </w:rPr>
        <w:t xml:space="preserve"> – </w:t>
      </w:r>
      <w:proofErr w:type="spellStart"/>
      <w:r w:rsidR="005466B5" w:rsidRPr="005D316A">
        <w:rPr>
          <w:i/>
          <w:iCs/>
        </w:rPr>
        <w:t>O</w:t>
      </w:r>
      <w:r w:rsidR="005466B5" w:rsidRPr="005466B5">
        <w:rPr>
          <w:i/>
          <w:iCs/>
        </w:rPr>
        <w:t>utils</w:t>
      </w:r>
      <w:proofErr w:type="spellEnd"/>
      <w:r w:rsidR="005466B5" w:rsidRPr="005466B5">
        <w:rPr>
          <w:i/>
          <w:iCs/>
        </w:rPr>
        <w:t xml:space="preserve"> de </w:t>
      </w:r>
      <w:proofErr w:type="spellStart"/>
      <w:r w:rsidR="005466B5" w:rsidRPr="005466B5">
        <w:rPr>
          <w:i/>
          <w:iCs/>
        </w:rPr>
        <w:t>datation</w:t>
      </w:r>
      <w:proofErr w:type="spellEnd"/>
      <w:r w:rsidR="005466B5" w:rsidRPr="005466B5">
        <w:rPr>
          <w:i/>
          <w:iCs/>
        </w:rPr>
        <w:t xml:space="preserve"> pour la protection de la resource </w:t>
      </w:r>
      <w:proofErr w:type="spellStart"/>
      <w:r w:rsidR="005466B5" w:rsidRPr="005466B5">
        <w:rPr>
          <w:i/>
          <w:iCs/>
        </w:rPr>
        <w:t>en</w:t>
      </w:r>
      <w:proofErr w:type="spellEnd"/>
      <w:r w:rsidR="005466B5" w:rsidRPr="005466B5">
        <w:rPr>
          <w:i/>
          <w:iCs/>
        </w:rPr>
        <w:t xml:space="preserve"> </w:t>
      </w:r>
      <w:proofErr w:type="spellStart"/>
      <w:r w:rsidR="005466B5" w:rsidRPr="005466B5">
        <w:rPr>
          <w:i/>
          <w:iCs/>
        </w:rPr>
        <w:t>eau</w:t>
      </w:r>
      <w:proofErr w:type="spellEnd"/>
      <w:r w:rsidR="005466B5" w:rsidRPr="005466B5">
        <w:rPr>
          <w:i/>
          <w:iCs/>
        </w:rPr>
        <w:t xml:space="preserve"> </w:t>
      </w:r>
      <w:proofErr w:type="spellStart"/>
      <w:r w:rsidR="005466B5" w:rsidRPr="005466B5">
        <w:rPr>
          <w:i/>
          <w:iCs/>
        </w:rPr>
        <w:t>souterraine</w:t>
      </w:r>
      <w:proofErr w:type="spellEnd"/>
      <w:r w:rsidR="005466B5" w:rsidRPr="005466B5">
        <w:rPr>
          <w:i/>
          <w:iCs/>
        </w:rPr>
        <w:t xml:space="preserve"> </w:t>
      </w:r>
      <w:proofErr w:type="spellStart"/>
      <w:r w:rsidR="005466B5" w:rsidRPr="005466B5">
        <w:rPr>
          <w:i/>
          <w:iCs/>
        </w:rPr>
        <w:t>exploitée</w:t>
      </w:r>
      <w:proofErr w:type="spellEnd"/>
      <w:r w:rsidR="005466B5" w:rsidRPr="005466B5">
        <w:rPr>
          <w:i/>
          <w:iCs/>
        </w:rPr>
        <w:t xml:space="preserve"> au Canada</w:t>
      </w:r>
      <w:r w:rsidR="005466B5" w:rsidRPr="005466B5">
        <w:t>” (RDCPJ 514535</w:t>
      </w:r>
      <w:r w:rsidR="002529A5">
        <w:t>–</w:t>
      </w:r>
      <w:r w:rsidR="005466B5" w:rsidRPr="005466B5">
        <w:t>17)</w:t>
      </w:r>
      <w:r w:rsidRPr="00613B31">
        <w:t>.</w:t>
      </w:r>
    </w:p>
    <w:p w14:paraId="453B8C12" w14:textId="5C0DF6B4" w:rsidR="001B45E6" w:rsidRDefault="001B45E6" w:rsidP="001B45E6">
      <w:pPr>
        <w:pStyle w:val="MDPI62BackMatter"/>
      </w:pPr>
      <w:r w:rsidRPr="001B45E6">
        <w:rPr>
          <w:b/>
        </w:rPr>
        <w:t>Institutional Review Board Statement:</w:t>
      </w:r>
      <w:r w:rsidRPr="001B45E6">
        <w:t xml:space="preserve"> </w:t>
      </w:r>
      <w:r>
        <w:t>Not applicable.</w:t>
      </w:r>
    </w:p>
    <w:p w14:paraId="34AE5EE7" w14:textId="0D98C0B8" w:rsidR="001B45E6" w:rsidRDefault="001B45E6" w:rsidP="001B45E6">
      <w:pPr>
        <w:pStyle w:val="MDPI62BackMatter"/>
      </w:pPr>
      <w:r w:rsidRPr="001B45E6">
        <w:rPr>
          <w:b/>
        </w:rPr>
        <w:t>Informed Consent Statement:</w:t>
      </w:r>
      <w:r w:rsidRPr="001B45E6">
        <w:t xml:space="preserve"> </w:t>
      </w:r>
      <w:r>
        <w:t>Not applicable.</w:t>
      </w:r>
    </w:p>
    <w:p w14:paraId="1343FB38" w14:textId="049072E1" w:rsidR="001B45E6" w:rsidRPr="001B45E6" w:rsidRDefault="001B45E6" w:rsidP="004B7135">
      <w:pPr>
        <w:pStyle w:val="MDPI62BackMatter"/>
        <w:tabs>
          <w:tab w:val="left" w:pos="5436"/>
        </w:tabs>
      </w:pPr>
      <w:r w:rsidRPr="001B45E6">
        <w:rPr>
          <w:b/>
        </w:rPr>
        <w:t>Data Availability Statement:</w:t>
      </w:r>
      <w:r w:rsidRPr="001B45E6">
        <w:t xml:space="preserve"> </w:t>
      </w:r>
      <w:r w:rsidR="00DF6127" w:rsidRPr="00DF6127">
        <w:t xml:space="preserve"> </w:t>
      </w:r>
      <w:r w:rsidR="00C42994" w:rsidRPr="00C42994">
        <w:t>Data sharing is not applicable to this article</w:t>
      </w:r>
      <w:r w:rsidR="00C42994">
        <w:t xml:space="preserve"> as all geochemical results are presented in Table 1</w:t>
      </w:r>
      <w:r w:rsidR="00DF6127" w:rsidRPr="00DF6127">
        <w:t>.</w:t>
      </w:r>
      <w:r w:rsidR="00C42994" w:rsidRPr="00C42994">
        <w:t xml:space="preserve"> </w:t>
      </w:r>
      <w:r w:rsidR="00C42994">
        <w:t>The data as spreadsheet are however available on request from the corresponding author.</w:t>
      </w:r>
    </w:p>
    <w:p w14:paraId="0D414AF0" w14:textId="6FFA2D79" w:rsidR="00E94B1B" w:rsidRPr="00613B31" w:rsidRDefault="00E94B1B" w:rsidP="001B45E6">
      <w:pPr>
        <w:pStyle w:val="MDPI62BackMatter"/>
      </w:pPr>
      <w:r w:rsidRPr="001B45E6">
        <w:rPr>
          <w:b/>
        </w:rPr>
        <w:t>Acknowledgments:</w:t>
      </w:r>
      <w:r w:rsidRPr="00613B31">
        <w:t xml:space="preserve"> </w:t>
      </w:r>
      <w:r w:rsidR="005466B5" w:rsidRPr="005466B5">
        <w:t>The authors would like to thank the Quebec Ministry of Environment (</w:t>
      </w:r>
      <w:proofErr w:type="spellStart"/>
      <w:r w:rsidR="005466B5" w:rsidRPr="0042259B">
        <w:rPr>
          <w:i/>
          <w:iCs/>
        </w:rPr>
        <w:t>Ministère</w:t>
      </w:r>
      <w:proofErr w:type="spellEnd"/>
      <w:r w:rsidR="005466B5" w:rsidRPr="0042259B">
        <w:rPr>
          <w:i/>
          <w:iCs/>
        </w:rPr>
        <w:t xml:space="preserve"> de </w:t>
      </w:r>
      <w:proofErr w:type="spellStart"/>
      <w:r w:rsidR="005466B5" w:rsidRPr="0042259B">
        <w:rPr>
          <w:i/>
          <w:iCs/>
        </w:rPr>
        <w:t>l’Environnement</w:t>
      </w:r>
      <w:proofErr w:type="spellEnd"/>
      <w:r w:rsidR="005466B5" w:rsidRPr="0042259B">
        <w:rPr>
          <w:i/>
          <w:iCs/>
        </w:rPr>
        <w:t xml:space="preserve"> et de la </w:t>
      </w:r>
      <w:proofErr w:type="spellStart"/>
      <w:r w:rsidR="005466B5" w:rsidRPr="0042259B">
        <w:rPr>
          <w:i/>
          <w:iCs/>
        </w:rPr>
        <w:t>Lutte</w:t>
      </w:r>
      <w:proofErr w:type="spellEnd"/>
      <w:r w:rsidR="005466B5" w:rsidRPr="0042259B">
        <w:rPr>
          <w:i/>
          <w:iCs/>
        </w:rPr>
        <w:t xml:space="preserve"> </w:t>
      </w:r>
      <w:proofErr w:type="spellStart"/>
      <w:r w:rsidR="005466B5" w:rsidRPr="0042259B">
        <w:rPr>
          <w:i/>
          <w:iCs/>
        </w:rPr>
        <w:t>contre</w:t>
      </w:r>
      <w:proofErr w:type="spellEnd"/>
      <w:r w:rsidR="005466B5" w:rsidRPr="0042259B">
        <w:rPr>
          <w:i/>
          <w:iCs/>
        </w:rPr>
        <w:t xml:space="preserve"> les </w:t>
      </w:r>
      <w:proofErr w:type="spellStart"/>
      <w:r w:rsidR="005466B5" w:rsidRPr="0042259B">
        <w:rPr>
          <w:i/>
          <w:iCs/>
        </w:rPr>
        <w:t>Changements</w:t>
      </w:r>
      <w:proofErr w:type="spellEnd"/>
      <w:r w:rsidR="005466B5" w:rsidRPr="0042259B">
        <w:rPr>
          <w:i/>
          <w:iCs/>
        </w:rPr>
        <w:t xml:space="preserve"> </w:t>
      </w:r>
      <w:proofErr w:type="spellStart"/>
      <w:r w:rsidR="005466B5" w:rsidRPr="0042259B">
        <w:rPr>
          <w:i/>
          <w:iCs/>
        </w:rPr>
        <w:t>Climatiques</w:t>
      </w:r>
      <w:proofErr w:type="spellEnd"/>
      <w:r w:rsidR="005466B5" w:rsidRPr="005466B5">
        <w:t xml:space="preserve">) who kindly provided access to some of the sampling locations, and to the Natural Sciences and Engineering Research Council of Canada from which this research was made possible through a collaborative </w:t>
      </w:r>
      <w:bookmarkStart w:id="20" w:name="_Hlk73040155"/>
      <w:r w:rsidR="005466B5" w:rsidRPr="005466B5">
        <w:t xml:space="preserve">grant </w:t>
      </w:r>
      <w:bookmarkEnd w:id="20"/>
      <w:r w:rsidR="005466B5" w:rsidRPr="005466B5">
        <w:t xml:space="preserve">in industrial partnership with hydrogeologists teams of TechnoRem and </w:t>
      </w:r>
      <w:proofErr w:type="spellStart"/>
      <w:r w:rsidR="005466B5" w:rsidRPr="005466B5">
        <w:t>Envir’Eau</w:t>
      </w:r>
      <w:proofErr w:type="spellEnd"/>
      <w:r w:rsidR="002529A5">
        <w:t>–</w:t>
      </w:r>
      <w:proofErr w:type="spellStart"/>
      <w:r w:rsidR="005466B5" w:rsidRPr="005466B5">
        <w:t>Puits</w:t>
      </w:r>
      <w:proofErr w:type="spellEnd"/>
      <w:r w:rsidR="005466B5" w:rsidRPr="005466B5">
        <w:t xml:space="preserve">. The latter providing most accesses to the study sites, </w:t>
      </w:r>
      <w:proofErr w:type="gramStart"/>
      <w:r w:rsidR="005466B5" w:rsidRPr="005466B5">
        <w:t>support</w:t>
      </w:r>
      <w:proofErr w:type="gramEnd"/>
      <w:r w:rsidR="005466B5" w:rsidRPr="005466B5">
        <w:t xml:space="preserve"> and expertise regarding the hydrogeological conditions of the areas investigated.</w:t>
      </w:r>
    </w:p>
    <w:p w14:paraId="1CE48493" w14:textId="769D9F8B" w:rsidR="00E94B1B" w:rsidRPr="00613B31" w:rsidRDefault="00E94B1B" w:rsidP="001B45E6">
      <w:pPr>
        <w:pStyle w:val="MDPI62BackMatter"/>
      </w:pPr>
      <w:r w:rsidRPr="001B45E6">
        <w:rPr>
          <w:b/>
        </w:rPr>
        <w:t xml:space="preserve">Conflicts of Interest: </w:t>
      </w:r>
      <w:r w:rsidRPr="00613B31">
        <w:t>The authors declare no conflict of interest</w:t>
      </w:r>
      <w:r w:rsidR="00F30CDA">
        <w:t>.</w:t>
      </w:r>
    </w:p>
    <w:p w14:paraId="2EA6DAF4" w14:textId="77777777" w:rsidR="00E94B1B" w:rsidRPr="00FA04F1" w:rsidRDefault="00E94B1B" w:rsidP="00C85962">
      <w:pPr>
        <w:pStyle w:val="MDPI21heading1"/>
        <w:ind w:left="0"/>
      </w:pPr>
      <w:r w:rsidRPr="00FA04F1">
        <w:t>References</w:t>
      </w:r>
    </w:p>
    <w:p w14:paraId="0CD2C28F"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Cloutier, V.</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Lefebvre, R.</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Savard, M.M.</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Bourque, É.</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Therrien, R. </w:t>
      </w:r>
      <w:proofErr w:type="spellStart"/>
      <w:r w:rsidRPr="00911143">
        <w:rPr>
          <w:rFonts w:eastAsia="Times New Roman"/>
          <w:noProof w:val="0"/>
          <w:color w:val="auto"/>
          <w:sz w:val="18"/>
          <w:szCs w:val="18"/>
          <w:lang w:eastAsia="en-US"/>
        </w:rPr>
        <w:t>Hydrogeochemistry</w:t>
      </w:r>
      <w:proofErr w:type="spellEnd"/>
      <w:r w:rsidRPr="00911143">
        <w:rPr>
          <w:rFonts w:eastAsia="Times New Roman"/>
          <w:noProof w:val="0"/>
          <w:color w:val="auto"/>
          <w:sz w:val="18"/>
          <w:szCs w:val="18"/>
          <w:lang w:eastAsia="en-US"/>
        </w:rPr>
        <w:t xml:space="preserve"> and groundwater origin of the Bass-es–</w:t>
      </w:r>
      <w:proofErr w:type="spellStart"/>
      <w:r w:rsidRPr="00911143">
        <w:rPr>
          <w:rFonts w:eastAsia="Times New Roman"/>
          <w:noProof w:val="0"/>
          <w:color w:val="auto"/>
          <w:sz w:val="18"/>
          <w:szCs w:val="18"/>
          <w:lang w:eastAsia="en-US"/>
        </w:rPr>
        <w:t>Laurentides</w:t>
      </w:r>
      <w:proofErr w:type="spellEnd"/>
      <w:r w:rsidRPr="00911143">
        <w:rPr>
          <w:rFonts w:eastAsia="Times New Roman"/>
          <w:noProof w:val="0"/>
          <w:color w:val="auto"/>
          <w:sz w:val="18"/>
          <w:szCs w:val="18"/>
          <w:lang w:eastAsia="en-US"/>
        </w:rPr>
        <w:t xml:space="preserve"> sedimentary rock aquifer system, St. Lawrence Lowlands, Québec, Canada. </w:t>
      </w:r>
      <w:proofErr w:type="spellStart"/>
      <w:r w:rsidRPr="0047132F">
        <w:rPr>
          <w:rFonts w:eastAsia="Times New Roman"/>
          <w:i/>
          <w:iCs/>
          <w:noProof w:val="0"/>
          <w:color w:val="auto"/>
          <w:sz w:val="18"/>
          <w:szCs w:val="18"/>
          <w:lang w:eastAsia="en-US"/>
        </w:rPr>
        <w:t>Hydrogeol</w:t>
      </w:r>
      <w:proofErr w:type="spellEnd"/>
      <w:r w:rsidRPr="0047132F">
        <w:rPr>
          <w:rFonts w:eastAsia="Times New Roman"/>
          <w:i/>
          <w:iCs/>
          <w:noProof w:val="0"/>
          <w:color w:val="auto"/>
          <w:sz w:val="18"/>
          <w:szCs w:val="18"/>
          <w:lang w:eastAsia="en-US"/>
        </w:rPr>
        <w:t>. J.</w:t>
      </w:r>
      <w:r w:rsidRPr="00911143">
        <w:rPr>
          <w:rFonts w:eastAsia="Times New Roman"/>
          <w:noProof w:val="0"/>
          <w:color w:val="auto"/>
          <w:sz w:val="18"/>
          <w:szCs w:val="18"/>
          <w:lang w:eastAsia="en-US"/>
        </w:rPr>
        <w:t xml:space="preserve"> </w:t>
      </w:r>
      <w:r w:rsidRPr="0047132F">
        <w:rPr>
          <w:rFonts w:eastAsia="Times New Roman"/>
          <w:b/>
          <w:noProof w:val="0"/>
          <w:color w:val="auto"/>
          <w:sz w:val="18"/>
          <w:szCs w:val="18"/>
          <w:lang w:eastAsia="en-US"/>
        </w:rPr>
        <w:t>2006</w:t>
      </w:r>
      <w:r w:rsidRPr="0047132F">
        <w:rPr>
          <w:rFonts w:eastAsia="Times New Roman"/>
          <w:noProof w:val="0"/>
          <w:color w:val="auto"/>
          <w:sz w:val="18"/>
          <w:szCs w:val="18"/>
          <w:lang w:eastAsia="en-US"/>
        </w:rPr>
        <w:t xml:space="preserve">, </w:t>
      </w:r>
      <w:r w:rsidRPr="0047132F">
        <w:rPr>
          <w:rFonts w:eastAsia="Times New Roman"/>
          <w:i/>
          <w:noProof w:val="0"/>
          <w:color w:val="auto"/>
          <w:sz w:val="18"/>
          <w:szCs w:val="18"/>
          <w:lang w:eastAsia="en-US"/>
        </w:rPr>
        <w:t>14</w:t>
      </w:r>
      <w:r w:rsidRPr="0047132F">
        <w:rPr>
          <w:rFonts w:eastAsia="Times New Roman"/>
          <w:noProof w:val="0"/>
          <w:color w:val="auto"/>
          <w:sz w:val="18"/>
          <w:szCs w:val="18"/>
          <w:lang w:eastAsia="en-US"/>
        </w:rPr>
        <w:t>, 573–590</w:t>
      </w:r>
      <w:r w:rsidRPr="00911143">
        <w:rPr>
          <w:rFonts w:eastAsia="Times New Roman"/>
          <w:noProof w:val="0"/>
          <w:color w:val="auto"/>
          <w:sz w:val="18"/>
          <w:szCs w:val="18"/>
          <w:lang w:eastAsia="en-US"/>
        </w:rPr>
        <w:t>.</w:t>
      </w:r>
    </w:p>
    <w:p w14:paraId="0C7E9822"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911143">
        <w:rPr>
          <w:rFonts w:eastAsia="Times New Roman"/>
          <w:noProof w:val="0"/>
          <w:color w:val="auto"/>
          <w:sz w:val="18"/>
          <w:szCs w:val="18"/>
          <w:lang w:eastAsia="en-US"/>
        </w:rPr>
        <w:t>Mattei</w:t>
      </w:r>
      <w:proofErr w:type="spellEnd"/>
      <w:r w:rsidRPr="00911143">
        <w:rPr>
          <w:rFonts w:eastAsia="Times New Roman"/>
          <w:noProof w:val="0"/>
          <w:color w:val="auto"/>
          <w:sz w:val="18"/>
          <w:szCs w:val="18"/>
          <w:lang w:eastAsia="en-US"/>
        </w:rPr>
        <w:t xml:space="preserve">, A.; </w:t>
      </w:r>
      <w:proofErr w:type="spellStart"/>
      <w:r w:rsidRPr="00911143">
        <w:rPr>
          <w:rFonts w:eastAsia="Times New Roman"/>
          <w:noProof w:val="0"/>
          <w:color w:val="auto"/>
          <w:sz w:val="18"/>
          <w:szCs w:val="18"/>
          <w:lang w:eastAsia="en-US"/>
        </w:rPr>
        <w:t>Barbecot</w:t>
      </w:r>
      <w:proofErr w:type="spellEnd"/>
      <w:r w:rsidRPr="00911143">
        <w:rPr>
          <w:rFonts w:eastAsia="Times New Roman"/>
          <w:noProof w:val="0"/>
          <w:color w:val="auto"/>
          <w:sz w:val="18"/>
          <w:szCs w:val="18"/>
          <w:lang w:eastAsia="en-US"/>
        </w:rPr>
        <w:t xml:space="preserve">, F.; Goblet, P.; </w:t>
      </w:r>
      <w:proofErr w:type="spellStart"/>
      <w:r w:rsidRPr="00911143">
        <w:rPr>
          <w:rFonts w:eastAsia="Times New Roman"/>
          <w:noProof w:val="0"/>
          <w:color w:val="auto"/>
          <w:sz w:val="18"/>
          <w:szCs w:val="18"/>
          <w:lang w:eastAsia="en-US"/>
        </w:rPr>
        <w:t>Guillon</w:t>
      </w:r>
      <w:proofErr w:type="spellEnd"/>
      <w:r w:rsidRPr="00911143">
        <w:rPr>
          <w:rFonts w:eastAsia="Times New Roman"/>
          <w:noProof w:val="0"/>
          <w:color w:val="auto"/>
          <w:sz w:val="18"/>
          <w:szCs w:val="18"/>
          <w:lang w:eastAsia="en-US"/>
        </w:rPr>
        <w:t xml:space="preserve">, S. </w:t>
      </w:r>
      <w:proofErr w:type="spellStart"/>
      <w:r w:rsidRPr="00911143">
        <w:rPr>
          <w:rFonts w:eastAsia="Times New Roman"/>
          <w:noProof w:val="0"/>
          <w:color w:val="auto"/>
          <w:sz w:val="18"/>
          <w:szCs w:val="18"/>
          <w:lang w:eastAsia="en-US"/>
        </w:rPr>
        <w:t>Pore</w:t>
      </w:r>
      <w:proofErr w:type="spellEnd"/>
      <w:r w:rsidRPr="00911143">
        <w:rPr>
          <w:rFonts w:eastAsia="Times New Roman"/>
          <w:noProof w:val="0"/>
          <w:color w:val="auto"/>
          <w:sz w:val="18"/>
          <w:szCs w:val="18"/>
          <w:lang w:eastAsia="en-US"/>
        </w:rPr>
        <w:t xml:space="preserve"> water isotope fingerprints to understand the spatiotemporal groundwater recharge variability in ungauged watersheds. </w:t>
      </w:r>
      <w:r w:rsidRPr="0047132F">
        <w:rPr>
          <w:rFonts w:eastAsia="Times New Roman"/>
          <w:i/>
          <w:iCs/>
          <w:noProof w:val="0"/>
          <w:color w:val="auto"/>
          <w:sz w:val="18"/>
          <w:szCs w:val="18"/>
          <w:lang w:eastAsia="en-US"/>
        </w:rPr>
        <w:t>Vadose Zone J.</w:t>
      </w:r>
      <w:r w:rsidRPr="00911143">
        <w:rPr>
          <w:rFonts w:eastAsia="Times New Roman"/>
          <w:noProof w:val="0"/>
          <w:color w:val="auto"/>
          <w:sz w:val="18"/>
          <w:szCs w:val="18"/>
          <w:lang w:eastAsia="en-US"/>
        </w:rPr>
        <w:t xml:space="preserve"> </w:t>
      </w:r>
      <w:r w:rsidRPr="0047132F">
        <w:rPr>
          <w:rFonts w:eastAsia="Times New Roman"/>
          <w:b/>
          <w:bCs/>
          <w:noProof w:val="0"/>
          <w:color w:val="auto"/>
          <w:sz w:val="18"/>
          <w:szCs w:val="18"/>
          <w:lang w:eastAsia="en-US"/>
        </w:rPr>
        <w:t>2020</w:t>
      </w:r>
      <w:r w:rsidRPr="0047132F">
        <w:rPr>
          <w:rFonts w:eastAsia="Times New Roman"/>
          <w:bCs/>
          <w:noProof w:val="0"/>
          <w:color w:val="auto"/>
          <w:sz w:val="18"/>
          <w:szCs w:val="18"/>
          <w:lang w:eastAsia="en-US"/>
        </w:rPr>
        <w:t xml:space="preserve">, </w:t>
      </w:r>
      <w:r w:rsidRPr="0047132F">
        <w:rPr>
          <w:rFonts w:eastAsia="Times New Roman"/>
          <w:bCs/>
          <w:i/>
          <w:noProof w:val="0"/>
          <w:color w:val="auto"/>
          <w:sz w:val="18"/>
          <w:szCs w:val="18"/>
          <w:lang w:eastAsia="en-US"/>
        </w:rPr>
        <w:t>19</w:t>
      </w:r>
      <w:r w:rsidRPr="0047132F">
        <w:rPr>
          <w:rFonts w:eastAsia="Times New Roman"/>
          <w:bCs/>
          <w:noProof w:val="0"/>
          <w:color w:val="auto"/>
          <w:sz w:val="18"/>
          <w:szCs w:val="18"/>
          <w:lang w:eastAsia="en-US"/>
        </w:rPr>
        <w:t>, 20066</w:t>
      </w:r>
      <w:r w:rsidRPr="00911143">
        <w:rPr>
          <w:rFonts w:eastAsia="Times New Roman"/>
          <w:noProof w:val="0"/>
          <w:color w:val="auto"/>
          <w:sz w:val="18"/>
          <w:szCs w:val="18"/>
          <w:lang w:eastAsia="en-US"/>
        </w:rPr>
        <w:t xml:space="preserve">, </w:t>
      </w:r>
      <w:r w:rsidRPr="0047132F">
        <w:rPr>
          <w:rFonts w:eastAsia="Times New Roman"/>
          <w:noProof w:val="0"/>
          <w:color w:val="auto"/>
          <w:sz w:val="18"/>
          <w:szCs w:val="18"/>
          <w:lang w:eastAsia="en-US"/>
        </w:rPr>
        <w:t>doi:</w:t>
      </w:r>
      <w:r w:rsidRPr="00911143">
        <w:rPr>
          <w:rFonts w:eastAsia="Times New Roman"/>
          <w:noProof w:val="0"/>
          <w:color w:val="auto"/>
          <w:sz w:val="18"/>
          <w:szCs w:val="18"/>
          <w:lang w:eastAsia="en-US"/>
        </w:rPr>
        <w:t>10.1002/vzj2.20066.</w:t>
      </w:r>
    </w:p>
    <w:p w14:paraId="6F9EFBF5"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Edmunds, W.M.</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Cook, J.M.</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Darling, W.G.</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Kinniburgh</w:t>
      </w:r>
      <w:proofErr w:type="spellEnd"/>
      <w:r w:rsidRPr="00911143">
        <w:rPr>
          <w:rFonts w:eastAsia="Times New Roman"/>
          <w:noProof w:val="0"/>
          <w:color w:val="auto"/>
          <w:sz w:val="18"/>
          <w:szCs w:val="18"/>
          <w:lang w:eastAsia="en-US"/>
        </w:rPr>
        <w:t>, D.G.</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Miles, D.L.</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Bath, A.H.</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Morgan–Jones, M.</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Andrews, J.N. Baseline geochemical conditions in the Chalk aquifer, Berkshire, U.K.: A basis for groundwater quality management</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r w:rsidRPr="0047132F">
        <w:rPr>
          <w:rFonts w:eastAsia="Times New Roman"/>
          <w:i/>
          <w:iCs/>
          <w:noProof w:val="0"/>
          <w:color w:val="auto"/>
          <w:sz w:val="18"/>
          <w:szCs w:val="18"/>
          <w:lang w:eastAsia="en-US"/>
        </w:rPr>
        <w:t>Appl. Geochem.</w:t>
      </w:r>
      <w:r w:rsidRPr="00911143">
        <w:rPr>
          <w:rFonts w:eastAsia="Times New Roman"/>
          <w:noProof w:val="0"/>
          <w:color w:val="auto"/>
          <w:sz w:val="18"/>
          <w:szCs w:val="18"/>
          <w:lang w:eastAsia="en-US"/>
        </w:rPr>
        <w:t xml:space="preserve"> </w:t>
      </w:r>
      <w:r w:rsidRPr="0047132F">
        <w:rPr>
          <w:rFonts w:eastAsia="Times New Roman"/>
          <w:b/>
          <w:bCs/>
          <w:noProof w:val="0"/>
          <w:color w:val="auto"/>
          <w:sz w:val="18"/>
          <w:szCs w:val="18"/>
          <w:lang w:eastAsia="en-US"/>
        </w:rPr>
        <w:t>1987</w:t>
      </w:r>
      <w:r w:rsidRPr="0047132F">
        <w:rPr>
          <w:rFonts w:eastAsia="Times New Roman"/>
          <w:bCs/>
          <w:noProof w:val="0"/>
          <w:color w:val="auto"/>
          <w:sz w:val="18"/>
          <w:szCs w:val="18"/>
          <w:lang w:eastAsia="en-US"/>
        </w:rPr>
        <w:t xml:space="preserve">, </w:t>
      </w:r>
      <w:r w:rsidRPr="0047132F">
        <w:rPr>
          <w:rFonts w:eastAsia="Times New Roman"/>
          <w:bCs/>
          <w:i/>
          <w:noProof w:val="0"/>
          <w:color w:val="auto"/>
          <w:sz w:val="18"/>
          <w:szCs w:val="18"/>
          <w:lang w:eastAsia="en-US"/>
        </w:rPr>
        <w:t>2</w:t>
      </w:r>
      <w:r w:rsidRPr="0047132F">
        <w:rPr>
          <w:rFonts w:eastAsia="Times New Roman"/>
          <w:bCs/>
          <w:noProof w:val="0"/>
          <w:color w:val="auto"/>
          <w:sz w:val="18"/>
          <w:szCs w:val="18"/>
          <w:lang w:eastAsia="en-US"/>
        </w:rPr>
        <w:t>, 251–274</w:t>
      </w:r>
      <w:r w:rsidRPr="00911143">
        <w:rPr>
          <w:rFonts w:eastAsia="Times New Roman"/>
          <w:noProof w:val="0"/>
          <w:color w:val="auto"/>
          <w:sz w:val="18"/>
          <w:szCs w:val="18"/>
          <w:lang w:eastAsia="en-US"/>
        </w:rPr>
        <w:t>.</w:t>
      </w:r>
    </w:p>
    <w:p w14:paraId="4134DB44"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911143">
        <w:rPr>
          <w:rFonts w:eastAsia="Times New Roman"/>
          <w:noProof w:val="0"/>
          <w:color w:val="auto"/>
          <w:sz w:val="18"/>
          <w:szCs w:val="18"/>
          <w:lang w:eastAsia="en-US"/>
        </w:rPr>
        <w:t>Mendizabal</w:t>
      </w:r>
      <w:proofErr w:type="spellEnd"/>
      <w:r w:rsidRPr="00911143">
        <w:rPr>
          <w:rFonts w:eastAsia="Times New Roman"/>
          <w:noProof w:val="0"/>
          <w:color w:val="auto"/>
          <w:sz w:val="18"/>
          <w:szCs w:val="18"/>
          <w:lang w:eastAsia="en-US"/>
        </w:rPr>
        <w:t>, I.</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Stuyfzand</w:t>
      </w:r>
      <w:proofErr w:type="spellEnd"/>
      <w:r w:rsidRPr="00911143">
        <w:rPr>
          <w:rFonts w:eastAsia="Times New Roman"/>
          <w:noProof w:val="0"/>
          <w:color w:val="auto"/>
          <w:sz w:val="18"/>
          <w:szCs w:val="18"/>
          <w:lang w:eastAsia="en-US"/>
        </w:rPr>
        <w:t>, P.J.</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Wiersma, A.P. </w:t>
      </w:r>
      <w:proofErr w:type="spellStart"/>
      <w:r w:rsidRPr="00911143">
        <w:rPr>
          <w:rFonts w:eastAsia="Times New Roman"/>
          <w:noProof w:val="0"/>
          <w:color w:val="auto"/>
          <w:sz w:val="18"/>
          <w:szCs w:val="18"/>
          <w:lang w:eastAsia="en-US"/>
        </w:rPr>
        <w:t>Hydrochemical</w:t>
      </w:r>
      <w:proofErr w:type="spellEnd"/>
      <w:r w:rsidRPr="00911143">
        <w:rPr>
          <w:rFonts w:eastAsia="Times New Roman"/>
          <w:noProof w:val="0"/>
          <w:color w:val="auto"/>
          <w:sz w:val="18"/>
          <w:szCs w:val="18"/>
          <w:lang w:eastAsia="en-US"/>
        </w:rPr>
        <w:t xml:space="preserve"> system analysis of public supply well fields, to reveal </w:t>
      </w:r>
      <w:proofErr w:type="spellStart"/>
      <w:r w:rsidRPr="00911143">
        <w:rPr>
          <w:rFonts w:eastAsia="Times New Roman"/>
          <w:noProof w:val="0"/>
          <w:color w:val="auto"/>
          <w:sz w:val="18"/>
          <w:szCs w:val="18"/>
          <w:lang w:eastAsia="en-US"/>
        </w:rPr>
        <w:t>wa-ter</w:t>
      </w:r>
      <w:proofErr w:type="spellEnd"/>
      <w:r w:rsidRPr="00911143">
        <w:rPr>
          <w:rFonts w:eastAsia="Times New Roman"/>
          <w:noProof w:val="0"/>
          <w:color w:val="auto"/>
          <w:sz w:val="18"/>
          <w:szCs w:val="18"/>
          <w:lang w:eastAsia="en-US"/>
        </w:rPr>
        <w:t xml:space="preserve">–quality patterns and define groundwater bodies: The Netherlands. </w:t>
      </w:r>
      <w:proofErr w:type="spellStart"/>
      <w:r w:rsidRPr="0085354A">
        <w:rPr>
          <w:rFonts w:eastAsia="Times New Roman"/>
          <w:i/>
          <w:iCs/>
          <w:noProof w:val="0"/>
          <w:color w:val="auto"/>
          <w:sz w:val="18"/>
          <w:szCs w:val="18"/>
          <w:lang w:eastAsia="en-US"/>
        </w:rPr>
        <w:t>Hydrogeol</w:t>
      </w:r>
      <w:proofErr w:type="spellEnd"/>
      <w:r w:rsidRPr="0085354A">
        <w:rPr>
          <w:rFonts w:eastAsia="Times New Roman"/>
          <w:i/>
          <w:iCs/>
          <w:noProof w:val="0"/>
          <w:color w:val="auto"/>
          <w:sz w:val="18"/>
          <w:szCs w:val="18"/>
          <w:lang w:eastAsia="en-US"/>
        </w:rPr>
        <w:t>. J.</w:t>
      </w:r>
      <w:r w:rsidRPr="00911143">
        <w:rPr>
          <w:rFonts w:eastAsia="Times New Roman"/>
          <w:noProof w:val="0"/>
          <w:color w:val="auto"/>
          <w:sz w:val="18"/>
          <w:szCs w:val="18"/>
          <w:lang w:eastAsia="en-US"/>
        </w:rPr>
        <w:t xml:space="preserve"> </w:t>
      </w:r>
      <w:r>
        <w:rPr>
          <w:rFonts w:eastAsia="Times New Roman"/>
          <w:b/>
          <w:noProof w:val="0"/>
          <w:color w:val="auto"/>
          <w:sz w:val="18"/>
          <w:szCs w:val="18"/>
          <w:lang w:eastAsia="en-US"/>
        </w:rPr>
        <w:t>2011</w:t>
      </w:r>
      <w:r>
        <w:rPr>
          <w:rFonts w:eastAsia="Times New Roman"/>
          <w:noProof w:val="0"/>
          <w:color w:val="auto"/>
          <w:sz w:val="18"/>
          <w:szCs w:val="18"/>
          <w:lang w:eastAsia="en-US"/>
        </w:rPr>
        <w:t xml:space="preserve">, </w:t>
      </w:r>
      <w:r>
        <w:rPr>
          <w:rFonts w:eastAsia="Times New Roman"/>
          <w:i/>
          <w:noProof w:val="0"/>
          <w:color w:val="auto"/>
          <w:sz w:val="18"/>
          <w:szCs w:val="18"/>
          <w:lang w:eastAsia="en-US"/>
        </w:rPr>
        <w:t>19</w:t>
      </w:r>
      <w:r>
        <w:rPr>
          <w:rFonts w:eastAsia="Times New Roman"/>
          <w:noProof w:val="0"/>
          <w:color w:val="auto"/>
          <w:sz w:val="18"/>
          <w:szCs w:val="18"/>
          <w:lang w:eastAsia="en-US"/>
        </w:rPr>
        <w:t>, 83–100</w:t>
      </w:r>
      <w:r w:rsidRPr="00911143">
        <w:rPr>
          <w:rFonts w:eastAsia="Times New Roman"/>
          <w:noProof w:val="0"/>
          <w:color w:val="auto"/>
          <w:sz w:val="18"/>
          <w:szCs w:val="18"/>
          <w:lang w:eastAsia="en-US"/>
        </w:rPr>
        <w:t>.</w:t>
      </w:r>
    </w:p>
    <w:p w14:paraId="23CCA3E2"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Larocque, M.; Cloutier, V.; Levison, J.; Rosa, E. Results from the Quebec Groundwater Knowledge Acquisition Program. </w:t>
      </w:r>
      <w:r w:rsidRPr="00911143">
        <w:rPr>
          <w:rFonts w:eastAsia="Times New Roman"/>
          <w:i/>
          <w:iCs/>
          <w:noProof w:val="0"/>
          <w:color w:val="auto"/>
          <w:sz w:val="18"/>
          <w:szCs w:val="18"/>
          <w:lang w:eastAsia="en-US"/>
        </w:rPr>
        <w:t xml:space="preserve">Can. Water </w:t>
      </w:r>
      <w:proofErr w:type="spellStart"/>
      <w:r w:rsidRPr="00911143">
        <w:rPr>
          <w:rFonts w:eastAsia="Times New Roman"/>
          <w:i/>
          <w:iCs/>
          <w:noProof w:val="0"/>
          <w:color w:val="auto"/>
          <w:sz w:val="18"/>
          <w:szCs w:val="18"/>
          <w:lang w:eastAsia="en-US"/>
        </w:rPr>
        <w:t>Resour</w:t>
      </w:r>
      <w:proofErr w:type="spellEnd"/>
      <w:r w:rsidRPr="00911143">
        <w:rPr>
          <w:rFonts w:eastAsia="Times New Roman"/>
          <w:i/>
          <w:iCs/>
          <w:noProof w:val="0"/>
          <w:color w:val="auto"/>
          <w:sz w:val="18"/>
          <w:szCs w:val="18"/>
          <w:lang w:eastAsia="en-US"/>
        </w:rPr>
        <w:t>. J./Rev</w:t>
      </w:r>
      <w:r w:rsidRPr="00F54FFF">
        <w:rPr>
          <w:rFonts w:eastAsia="Times New Roman"/>
          <w:i/>
          <w:iCs/>
          <w:noProof w:val="0"/>
          <w:color w:val="auto"/>
          <w:sz w:val="18"/>
          <w:szCs w:val="18"/>
          <w:lang w:eastAsia="en-US"/>
        </w:rPr>
        <w:t xml:space="preserve">. Can. </w:t>
      </w:r>
      <w:proofErr w:type="spellStart"/>
      <w:r>
        <w:rPr>
          <w:rFonts w:eastAsia="Times New Roman"/>
          <w:i/>
          <w:iCs/>
          <w:noProof w:val="0"/>
          <w:color w:val="auto"/>
          <w:sz w:val="18"/>
          <w:szCs w:val="18"/>
          <w:lang w:eastAsia="en-US"/>
        </w:rPr>
        <w:t>Ressour</w:t>
      </w:r>
      <w:proofErr w:type="spellEnd"/>
      <w:r>
        <w:rPr>
          <w:rFonts w:eastAsia="Times New Roman"/>
          <w:i/>
          <w:iCs/>
          <w:noProof w:val="0"/>
          <w:color w:val="auto"/>
          <w:sz w:val="18"/>
          <w:szCs w:val="18"/>
          <w:lang w:eastAsia="en-US"/>
        </w:rPr>
        <w:t xml:space="preserve">. </w:t>
      </w:r>
      <w:proofErr w:type="spellStart"/>
      <w:r>
        <w:rPr>
          <w:rFonts w:eastAsia="Times New Roman"/>
          <w:i/>
          <w:iCs/>
          <w:noProof w:val="0"/>
          <w:color w:val="auto"/>
          <w:sz w:val="18"/>
          <w:szCs w:val="18"/>
          <w:lang w:eastAsia="en-US"/>
        </w:rPr>
        <w:t>Hydr</w:t>
      </w:r>
      <w:proofErr w:type="spellEnd"/>
      <w:r>
        <w:rPr>
          <w:rFonts w:eastAsia="Times New Roman"/>
          <w:i/>
          <w:iCs/>
          <w:noProof w:val="0"/>
          <w:color w:val="auto"/>
          <w:sz w:val="18"/>
          <w:szCs w:val="18"/>
          <w:lang w:eastAsia="en-US"/>
        </w:rPr>
        <w:t xml:space="preserve">. </w:t>
      </w:r>
      <w:r>
        <w:rPr>
          <w:rFonts w:eastAsia="Times New Roman"/>
          <w:b/>
          <w:bCs/>
          <w:noProof w:val="0"/>
          <w:color w:val="auto"/>
          <w:sz w:val="18"/>
          <w:szCs w:val="18"/>
          <w:lang w:eastAsia="en-US"/>
        </w:rPr>
        <w:t>2017</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43</w:t>
      </w:r>
      <w:r>
        <w:rPr>
          <w:rFonts w:eastAsia="Times New Roman"/>
          <w:bCs/>
          <w:noProof w:val="0"/>
          <w:color w:val="auto"/>
          <w:sz w:val="18"/>
          <w:szCs w:val="18"/>
          <w:lang w:eastAsia="en-US"/>
        </w:rPr>
        <w:t>, 69–74</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10.1080/07011784.2018.1472040.</w:t>
      </w:r>
    </w:p>
    <w:p w14:paraId="7CB7E951"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Blanchette, D.; Lefebvre, R.; </w:t>
      </w:r>
      <w:proofErr w:type="spellStart"/>
      <w:r w:rsidRPr="00911143">
        <w:rPr>
          <w:rFonts w:eastAsia="Times New Roman"/>
          <w:noProof w:val="0"/>
          <w:color w:val="auto"/>
          <w:sz w:val="18"/>
          <w:szCs w:val="18"/>
          <w:lang w:eastAsia="en-US"/>
        </w:rPr>
        <w:t>Nastev</w:t>
      </w:r>
      <w:proofErr w:type="spellEnd"/>
      <w:r w:rsidRPr="00911143">
        <w:rPr>
          <w:rFonts w:eastAsia="Times New Roman"/>
          <w:noProof w:val="0"/>
          <w:color w:val="auto"/>
          <w:sz w:val="18"/>
          <w:szCs w:val="18"/>
          <w:lang w:eastAsia="en-US"/>
        </w:rPr>
        <w:t xml:space="preserve">, M.; Cloutier, V. Groundwater Quality, Geochemical Processes and Groundwater Evolution in the Chateauguay River Watershed, Quebec, Canada. </w:t>
      </w:r>
      <w:r w:rsidRPr="00911143">
        <w:rPr>
          <w:rFonts w:eastAsia="Times New Roman"/>
          <w:i/>
          <w:iCs/>
          <w:noProof w:val="0"/>
          <w:color w:val="auto"/>
          <w:sz w:val="18"/>
          <w:szCs w:val="18"/>
          <w:lang w:eastAsia="en-US"/>
        </w:rPr>
        <w:t xml:space="preserve">Can. Water </w:t>
      </w:r>
      <w:proofErr w:type="spellStart"/>
      <w:r w:rsidRPr="00911143">
        <w:rPr>
          <w:rFonts w:eastAsia="Times New Roman"/>
          <w:i/>
          <w:iCs/>
          <w:noProof w:val="0"/>
          <w:color w:val="auto"/>
          <w:sz w:val="18"/>
          <w:szCs w:val="18"/>
          <w:lang w:eastAsia="en-US"/>
        </w:rPr>
        <w:t>Resour</w:t>
      </w:r>
      <w:proofErr w:type="spellEnd"/>
      <w:r w:rsidRPr="00911143">
        <w:rPr>
          <w:rFonts w:eastAsia="Times New Roman"/>
          <w:i/>
          <w:iCs/>
          <w:noProof w:val="0"/>
          <w:color w:val="auto"/>
          <w:sz w:val="18"/>
          <w:szCs w:val="18"/>
          <w:lang w:eastAsia="en-US"/>
        </w:rPr>
        <w:t xml:space="preserve">. J. Rev. Can. </w:t>
      </w:r>
      <w:r>
        <w:rPr>
          <w:rFonts w:eastAsia="Times New Roman"/>
          <w:i/>
          <w:iCs/>
          <w:noProof w:val="0"/>
          <w:color w:val="auto"/>
          <w:sz w:val="18"/>
          <w:szCs w:val="18"/>
          <w:lang w:eastAsia="en-US"/>
        </w:rPr>
        <w:t>R</w:t>
      </w:r>
      <w:r w:rsidRPr="00911143">
        <w:rPr>
          <w:rFonts w:eastAsia="Times New Roman"/>
          <w:i/>
          <w:iCs/>
          <w:noProof w:val="0"/>
          <w:color w:val="auto"/>
          <w:sz w:val="18"/>
          <w:szCs w:val="18"/>
          <w:lang w:eastAsia="en-US"/>
        </w:rPr>
        <w:t>es</w:t>
      </w:r>
      <w:r>
        <w:rPr>
          <w:rFonts w:eastAsia="Times New Roman"/>
          <w:i/>
          <w:iCs/>
          <w:noProof w:val="0"/>
          <w:color w:val="auto"/>
          <w:sz w:val="18"/>
          <w:szCs w:val="18"/>
          <w:lang w:eastAsia="en-US"/>
        </w:rPr>
        <w:t>.</w:t>
      </w:r>
      <w:r w:rsidRPr="00911143">
        <w:rPr>
          <w:rFonts w:eastAsia="Times New Roman"/>
          <w:i/>
          <w:iCs/>
          <w:noProof w:val="0"/>
          <w:color w:val="auto"/>
          <w:sz w:val="18"/>
          <w:szCs w:val="18"/>
          <w:lang w:eastAsia="en-US"/>
        </w:rPr>
        <w:t xml:space="preserve"> </w:t>
      </w:r>
      <w:proofErr w:type="spellStart"/>
      <w:r>
        <w:rPr>
          <w:rFonts w:eastAsia="Times New Roman"/>
          <w:i/>
          <w:iCs/>
          <w:noProof w:val="0"/>
          <w:color w:val="auto"/>
          <w:sz w:val="18"/>
          <w:szCs w:val="18"/>
          <w:lang w:eastAsia="en-US"/>
        </w:rPr>
        <w:t>H</w:t>
      </w:r>
      <w:r w:rsidRPr="00911143">
        <w:rPr>
          <w:rFonts w:eastAsia="Times New Roman"/>
          <w:i/>
          <w:iCs/>
          <w:noProof w:val="0"/>
          <w:color w:val="auto"/>
          <w:sz w:val="18"/>
          <w:szCs w:val="18"/>
          <w:lang w:eastAsia="en-US"/>
        </w:rPr>
        <w:t>ydr</w:t>
      </w:r>
      <w:proofErr w:type="spellEnd"/>
      <w:r>
        <w:rPr>
          <w:rFonts w:eastAsia="Times New Roman"/>
          <w:i/>
          <w:iCs/>
          <w:noProof w:val="0"/>
          <w:color w:val="auto"/>
          <w:sz w:val="18"/>
          <w:szCs w:val="18"/>
          <w:lang w:eastAsia="en-US"/>
        </w:rPr>
        <w:t>.</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2010</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35</w:t>
      </w:r>
      <w:r>
        <w:rPr>
          <w:rFonts w:eastAsia="Times New Roman"/>
          <w:bCs/>
          <w:noProof w:val="0"/>
          <w:color w:val="auto"/>
          <w:sz w:val="18"/>
          <w:szCs w:val="18"/>
          <w:lang w:eastAsia="en-US"/>
        </w:rPr>
        <w:t>, 503–526</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10.4296/cwrj3504503.</w:t>
      </w:r>
    </w:p>
    <w:p w14:paraId="367ECEEC"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Benoit, N.; </w:t>
      </w:r>
      <w:proofErr w:type="spellStart"/>
      <w:r w:rsidRPr="00911143">
        <w:rPr>
          <w:rFonts w:eastAsia="Times New Roman"/>
          <w:noProof w:val="0"/>
          <w:color w:val="auto"/>
          <w:sz w:val="18"/>
          <w:szCs w:val="18"/>
          <w:lang w:eastAsia="en-US"/>
        </w:rPr>
        <w:t>Nastev</w:t>
      </w:r>
      <w:proofErr w:type="spellEnd"/>
      <w:r w:rsidRPr="00911143">
        <w:rPr>
          <w:rFonts w:eastAsia="Times New Roman"/>
          <w:noProof w:val="0"/>
          <w:color w:val="auto"/>
          <w:sz w:val="18"/>
          <w:szCs w:val="18"/>
          <w:lang w:eastAsia="en-US"/>
        </w:rPr>
        <w:t xml:space="preserve">, M.; Blanchette, D.; Molson, J. Hydrogeology and </w:t>
      </w:r>
      <w:proofErr w:type="spellStart"/>
      <w:r w:rsidRPr="00911143">
        <w:rPr>
          <w:rFonts w:eastAsia="Times New Roman"/>
          <w:noProof w:val="0"/>
          <w:color w:val="auto"/>
          <w:sz w:val="18"/>
          <w:szCs w:val="18"/>
          <w:lang w:eastAsia="en-US"/>
        </w:rPr>
        <w:t>hydrogeochemistry</w:t>
      </w:r>
      <w:proofErr w:type="spellEnd"/>
      <w:r w:rsidRPr="00911143">
        <w:rPr>
          <w:rFonts w:eastAsia="Times New Roman"/>
          <w:noProof w:val="0"/>
          <w:color w:val="auto"/>
          <w:sz w:val="18"/>
          <w:szCs w:val="18"/>
          <w:lang w:eastAsia="en-US"/>
        </w:rPr>
        <w:t xml:space="preserve"> of the Chaudière River watershed aquifers, Québec, Canada. </w:t>
      </w:r>
      <w:r w:rsidRPr="00911143">
        <w:rPr>
          <w:rFonts w:eastAsia="Times New Roman"/>
          <w:i/>
          <w:iCs/>
          <w:noProof w:val="0"/>
          <w:color w:val="auto"/>
          <w:sz w:val="18"/>
          <w:szCs w:val="18"/>
          <w:lang w:eastAsia="en-US"/>
        </w:rPr>
        <w:t xml:space="preserve">Can. Water </w:t>
      </w:r>
      <w:proofErr w:type="spellStart"/>
      <w:r w:rsidRPr="00911143">
        <w:rPr>
          <w:rFonts w:eastAsia="Times New Roman"/>
          <w:i/>
          <w:iCs/>
          <w:noProof w:val="0"/>
          <w:color w:val="auto"/>
          <w:sz w:val="18"/>
          <w:szCs w:val="18"/>
          <w:lang w:eastAsia="en-US"/>
        </w:rPr>
        <w:t>Resour</w:t>
      </w:r>
      <w:proofErr w:type="spellEnd"/>
      <w:r w:rsidRPr="00911143">
        <w:rPr>
          <w:rFonts w:eastAsia="Times New Roman"/>
          <w:i/>
          <w:iCs/>
          <w:noProof w:val="0"/>
          <w:color w:val="auto"/>
          <w:sz w:val="18"/>
          <w:szCs w:val="18"/>
          <w:lang w:eastAsia="en-US"/>
        </w:rPr>
        <w:t xml:space="preserve">. J./Rev. Can. </w:t>
      </w:r>
      <w:r>
        <w:rPr>
          <w:rFonts w:eastAsia="Times New Roman"/>
          <w:i/>
          <w:iCs/>
          <w:noProof w:val="0"/>
          <w:color w:val="auto"/>
          <w:sz w:val="18"/>
          <w:szCs w:val="18"/>
          <w:lang w:eastAsia="en-US"/>
        </w:rPr>
        <w:t>R</w:t>
      </w:r>
      <w:r w:rsidRPr="00911143">
        <w:rPr>
          <w:rFonts w:eastAsia="Times New Roman"/>
          <w:i/>
          <w:iCs/>
          <w:noProof w:val="0"/>
          <w:color w:val="auto"/>
          <w:sz w:val="18"/>
          <w:szCs w:val="18"/>
          <w:lang w:eastAsia="en-US"/>
        </w:rPr>
        <w:t>es</w:t>
      </w:r>
      <w:r>
        <w:rPr>
          <w:rFonts w:eastAsia="Times New Roman"/>
          <w:i/>
          <w:iCs/>
          <w:noProof w:val="0"/>
          <w:color w:val="auto"/>
          <w:sz w:val="18"/>
          <w:szCs w:val="18"/>
          <w:lang w:eastAsia="en-US"/>
        </w:rPr>
        <w:t>.</w:t>
      </w:r>
      <w:r w:rsidRPr="00911143">
        <w:rPr>
          <w:rFonts w:eastAsia="Times New Roman"/>
          <w:i/>
          <w:iCs/>
          <w:noProof w:val="0"/>
          <w:color w:val="auto"/>
          <w:sz w:val="18"/>
          <w:szCs w:val="18"/>
          <w:lang w:eastAsia="en-US"/>
        </w:rPr>
        <w:t xml:space="preserve"> </w:t>
      </w:r>
      <w:proofErr w:type="spellStart"/>
      <w:r>
        <w:rPr>
          <w:rFonts w:eastAsia="Times New Roman"/>
          <w:i/>
          <w:iCs/>
          <w:noProof w:val="0"/>
          <w:color w:val="auto"/>
          <w:sz w:val="18"/>
          <w:szCs w:val="18"/>
          <w:lang w:eastAsia="en-US"/>
        </w:rPr>
        <w:t>H</w:t>
      </w:r>
      <w:r w:rsidRPr="00911143">
        <w:rPr>
          <w:rFonts w:eastAsia="Times New Roman"/>
          <w:i/>
          <w:iCs/>
          <w:noProof w:val="0"/>
          <w:color w:val="auto"/>
          <w:sz w:val="18"/>
          <w:szCs w:val="18"/>
          <w:lang w:eastAsia="en-US"/>
        </w:rPr>
        <w:t>ydr</w:t>
      </w:r>
      <w:proofErr w:type="spellEnd"/>
      <w:r>
        <w:rPr>
          <w:rFonts w:eastAsia="Times New Roman"/>
          <w:i/>
          <w:iCs/>
          <w:noProof w:val="0"/>
          <w:color w:val="auto"/>
          <w:sz w:val="18"/>
          <w:szCs w:val="18"/>
          <w:lang w:eastAsia="en-US"/>
        </w:rPr>
        <w:t>.</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2014</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39</w:t>
      </w:r>
      <w:r>
        <w:rPr>
          <w:rFonts w:eastAsia="Times New Roman"/>
          <w:bCs/>
          <w:noProof w:val="0"/>
          <w:color w:val="auto"/>
          <w:sz w:val="18"/>
          <w:szCs w:val="18"/>
          <w:lang w:eastAsia="en-US"/>
        </w:rPr>
        <w:t>, 32–48</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10.1080/07011784.2014.881589.</w:t>
      </w:r>
    </w:p>
    <w:p w14:paraId="39D50F5F"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911143">
        <w:rPr>
          <w:rFonts w:eastAsia="Times New Roman"/>
          <w:noProof w:val="0"/>
          <w:color w:val="auto"/>
          <w:sz w:val="18"/>
          <w:szCs w:val="18"/>
          <w:lang w:eastAsia="en-US"/>
        </w:rPr>
        <w:lastRenderedPageBreak/>
        <w:t>Montcoudiol</w:t>
      </w:r>
      <w:proofErr w:type="spellEnd"/>
      <w:r w:rsidRPr="00911143">
        <w:rPr>
          <w:rFonts w:eastAsia="Times New Roman"/>
          <w:noProof w:val="0"/>
          <w:color w:val="auto"/>
          <w:sz w:val="18"/>
          <w:szCs w:val="18"/>
          <w:lang w:eastAsia="en-US"/>
        </w:rPr>
        <w:t>, N.</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Molson, J.</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Lemieux, J.M. Groundwater geochemistry of the Outaouais Region (Québec, Canada): A region-al–scale study. </w:t>
      </w:r>
      <w:proofErr w:type="spellStart"/>
      <w:r w:rsidRPr="0085354A">
        <w:rPr>
          <w:rFonts w:eastAsia="Times New Roman"/>
          <w:i/>
          <w:iCs/>
          <w:noProof w:val="0"/>
          <w:color w:val="auto"/>
          <w:sz w:val="18"/>
          <w:szCs w:val="18"/>
          <w:lang w:eastAsia="en-US"/>
        </w:rPr>
        <w:t>Hydrogeol</w:t>
      </w:r>
      <w:proofErr w:type="spellEnd"/>
      <w:r w:rsidRPr="0085354A">
        <w:rPr>
          <w:rFonts w:eastAsia="Times New Roman"/>
          <w:i/>
          <w:iCs/>
          <w:noProof w:val="0"/>
          <w:color w:val="auto"/>
          <w:sz w:val="18"/>
          <w:szCs w:val="18"/>
          <w:lang w:eastAsia="en-US"/>
        </w:rPr>
        <w:t>. J.</w:t>
      </w:r>
      <w:r w:rsidRPr="00911143">
        <w:rPr>
          <w:rFonts w:eastAsia="Times New Roman"/>
          <w:noProof w:val="0"/>
          <w:color w:val="auto"/>
          <w:sz w:val="18"/>
          <w:szCs w:val="18"/>
          <w:lang w:eastAsia="en-US"/>
        </w:rPr>
        <w:t xml:space="preserve"> </w:t>
      </w:r>
      <w:r>
        <w:rPr>
          <w:rFonts w:eastAsia="Times New Roman"/>
          <w:b/>
          <w:noProof w:val="0"/>
          <w:color w:val="auto"/>
          <w:sz w:val="18"/>
          <w:szCs w:val="18"/>
          <w:lang w:eastAsia="en-US"/>
        </w:rPr>
        <w:t>2014</w:t>
      </w:r>
      <w:r>
        <w:rPr>
          <w:rFonts w:eastAsia="Times New Roman"/>
          <w:noProof w:val="0"/>
          <w:color w:val="auto"/>
          <w:sz w:val="18"/>
          <w:szCs w:val="18"/>
          <w:lang w:eastAsia="en-US"/>
        </w:rPr>
        <w:t xml:space="preserve">, </w:t>
      </w:r>
      <w:r>
        <w:rPr>
          <w:rFonts w:eastAsia="Times New Roman"/>
          <w:i/>
          <w:noProof w:val="0"/>
          <w:color w:val="auto"/>
          <w:sz w:val="18"/>
          <w:szCs w:val="18"/>
          <w:lang w:eastAsia="en-US"/>
        </w:rPr>
        <w:t>23</w:t>
      </w:r>
      <w:r>
        <w:rPr>
          <w:rFonts w:eastAsia="Times New Roman"/>
          <w:noProof w:val="0"/>
          <w:color w:val="auto"/>
          <w:sz w:val="18"/>
          <w:szCs w:val="18"/>
          <w:lang w:eastAsia="en-US"/>
        </w:rPr>
        <w:t>, 377–396</w:t>
      </w:r>
      <w:r w:rsidRPr="00911143">
        <w:rPr>
          <w:rFonts w:eastAsia="Times New Roman"/>
          <w:noProof w:val="0"/>
          <w:color w:val="auto"/>
          <w:sz w:val="18"/>
          <w:szCs w:val="18"/>
          <w:lang w:eastAsia="en-US"/>
        </w:rPr>
        <w:t>.</w:t>
      </w:r>
    </w:p>
    <w:p w14:paraId="3DBB8EF9"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Boucher, C.; </w:t>
      </w:r>
      <w:proofErr w:type="spellStart"/>
      <w:r w:rsidRPr="00911143">
        <w:rPr>
          <w:rFonts w:eastAsia="Times New Roman"/>
          <w:noProof w:val="0"/>
          <w:color w:val="auto"/>
          <w:sz w:val="18"/>
          <w:szCs w:val="18"/>
          <w:lang w:eastAsia="en-US"/>
        </w:rPr>
        <w:t>Pinti</w:t>
      </w:r>
      <w:proofErr w:type="spellEnd"/>
      <w:r w:rsidRPr="00911143">
        <w:rPr>
          <w:rFonts w:eastAsia="Times New Roman"/>
          <w:noProof w:val="0"/>
          <w:color w:val="auto"/>
          <w:sz w:val="18"/>
          <w:szCs w:val="18"/>
          <w:lang w:eastAsia="en-US"/>
        </w:rPr>
        <w:t xml:space="preserve">, D.L.; Roy, M.; Castro, M.C.; Cloutier, V.; Blanchette, D.; Larocque, M.; Hall, C.M.; Wen, T.; Sano, Y. Groundwater age investigation of eskers in the Amos region, Quebec, Canada. </w:t>
      </w:r>
      <w:r w:rsidRPr="00911143">
        <w:rPr>
          <w:rFonts w:eastAsia="Times New Roman"/>
          <w:i/>
          <w:iCs/>
          <w:noProof w:val="0"/>
          <w:color w:val="auto"/>
          <w:sz w:val="18"/>
          <w:szCs w:val="18"/>
          <w:lang w:eastAsia="en-US"/>
        </w:rPr>
        <w:t xml:space="preserve">J. </w:t>
      </w:r>
      <w:proofErr w:type="spellStart"/>
      <w:r w:rsidRPr="00911143">
        <w:rPr>
          <w:rFonts w:eastAsia="Times New Roman"/>
          <w:i/>
          <w:iCs/>
          <w:noProof w:val="0"/>
          <w:color w:val="auto"/>
          <w:sz w:val="18"/>
          <w:szCs w:val="18"/>
          <w:lang w:eastAsia="en-US"/>
        </w:rPr>
        <w:t>Hydrol</w:t>
      </w:r>
      <w:proofErr w:type="spellEnd"/>
      <w:r w:rsidRPr="00911143">
        <w:rPr>
          <w:rFonts w:eastAsia="Times New Roman"/>
          <w:i/>
          <w:iCs/>
          <w:noProof w:val="0"/>
          <w:color w:val="auto"/>
          <w:sz w:val="18"/>
          <w:szCs w:val="18"/>
          <w:lang w:eastAsia="en-US"/>
        </w:rPr>
        <w:t>.</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2015</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524</w:t>
      </w:r>
      <w:r>
        <w:rPr>
          <w:rFonts w:eastAsia="Times New Roman"/>
          <w:bCs/>
          <w:noProof w:val="0"/>
          <w:color w:val="auto"/>
          <w:sz w:val="18"/>
          <w:szCs w:val="18"/>
          <w:lang w:eastAsia="en-US"/>
        </w:rPr>
        <w:t>, 1–14</w:t>
      </w:r>
      <w:r w:rsidRPr="00911143">
        <w:rPr>
          <w:rFonts w:eastAsia="Times New Roman"/>
          <w:noProof w:val="0"/>
          <w:color w:val="auto"/>
          <w:sz w:val="18"/>
          <w:szCs w:val="18"/>
          <w:lang w:eastAsia="en-US"/>
        </w:rPr>
        <w:t xml:space="preserve">, </w:t>
      </w:r>
      <w:proofErr w:type="gramStart"/>
      <w:r>
        <w:rPr>
          <w:rFonts w:eastAsia="Times New Roman"/>
          <w:noProof w:val="0"/>
          <w:color w:val="auto"/>
          <w:sz w:val="18"/>
          <w:szCs w:val="18"/>
          <w:lang w:eastAsia="en-US"/>
        </w:rPr>
        <w:t>doi:</w:t>
      </w:r>
      <w:r w:rsidRPr="00911143">
        <w:rPr>
          <w:rFonts w:eastAsia="Times New Roman"/>
          <w:noProof w:val="0"/>
          <w:color w:val="auto"/>
          <w:sz w:val="18"/>
          <w:szCs w:val="18"/>
          <w:lang w:eastAsia="en-US"/>
        </w:rPr>
        <w:t>10.1016/j.jhydrol</w:t>
      </w:r>
      <w:proofErr w:type="gramEnd"/>
      <w:r w:rsidRPr="00911143">
        <w:rPr>
          <w:rFonts w:eastAsia="Times New Roman"/>
          <w:noProof w:val="0"/>
          <w:color w:val="auto"/>
          <w:sz w:val="18"/>
          <w:szCs w:val="18"/>
          <w:lang w:eastAsia="en-US"/>
        </w:rPr>
        <w:t>.2015.01.072.</w:t>
      </w:r>
    </w:p>
    <w:p w14:paraId="5F68A9AB"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911143">
        <w:rPr>
          <w:rFonts w:eastAsia="Times New Roman"/>
          <w:noProof w:val="0"/>
          <w:color w:val="auto"/>
          <w:sz w:val="18"/>
          <w:szCs w:val="18"/>
          <w:lang w:eastAsia="en-US"/>
        </w:rPr>
        <w:t>Ghesquière</w:t>
      </w:r>
      <w:proofErr w:type="spellEnd"/>
      <w:r w:rsidRPr="00911143">
        <w:rPr>
          <w:rFonts w:eastAsia="Times New Roman"/>
          <w:noProof w:val="0"/>
          <w:color w:val="auto"/>
          <w:sz w:val="18"/>
          <w:szCs w:val="18"/>
          <w:lang w:eastAsia="en-US"/>
        </w:rPr>
        <w:t xml:space="preserve">, O.; Walter, J.; </w:t>
      </w:r>
      <w:proofErr w:type="spellStart"/>
      <w:r w:rsidRPr="00911143">
        <w:rPr>
          <w:rFonts w:eastAsia="Times New Roman"/>
          <w:noProof w:val="0"/>
          <w:color w:val="auto"/>
          <w:sz w:val="18"/>
          <w:szCs w:val="18"/>
          <w:lang w:eastAsia="en-US"/>
        </w:rPr>
        <w:t>Chesnaux</w:t>
      </w:r>
      <w:proofErr w:type="spellEnd"/>
      <w:r w:rsidRPr="00911143">
        <w:rPr>
          <w:rFonts w:eastAsia="Times New Roman"/>
          <w:noProof w:val="0"/>
          <w:color w:val="auto"/>
          <w:sz w:val="18"/>
          <w:szCs w:val="18"/>
          <w:lang w:eastAsia="en-US"/>
        </w:rPr>
        <w:t xml:space="preserve">, R.; Rouleau, A. Scenarios of groundwater chemical evolution in a region of the Canadian Shield based on multivariate statistical analysis. </w:t>
      </w:r>
      <w:r w:rsidRPr="00911143">
        <w:rPr>
          <w:rFonts w:eastAsia="Times New Roman"/>
          <w:i/>
          <w:iCs/>
          <w:noProof w:val="0"/>
          <w:color w:val="auto"/>
          <w:sz w:val="18"/>
          <w:szCs w:val="18"/>
          <w:lang w:eastAsia="en-US"/>
        </w:rPr>
        <w:t xml:space="preserve">J. </w:t>
      </w:r>
      <w:proofErr w:type="spellStart"/>
      <w:r w:rsidRPr="00911143">
        <w:rPr>
          <w:rFonts w:eastAsia="Times New Roman"/>
          <w:i/>
          <w:iCs/>
          <w:noProof w:val="0"/>
          <w:color w:val="auto"/>
          <w:sz w:val="18"/>
          <w:szCs w:val="18"/>
          <w:lang w:eastAsia="en-US"/>
        </w:rPr>
        <w:t>Hydrol</w:t>
      </w:r>
      <w:proofErr w:type="spellEnd"/>
      <w:r w:rsidRPr="00911143">
        <w:rPr>
          <w:rFonts w:eastAsia="Times New Roman"/>
          <w:i/>
          <w:iCs/>
          <w:noProof w:val="0"/>
          <w:color w:val="auto"/>
          <w:sz w:val="18"/>
          <w:szCs w:val="18"/>
          <w:lang w:eastAsia="en-US"/>
        </w:rPr>
        <w:t>. Reg. Stud.</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2015</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4</w:t>
      </w:r>
      <w:r>
        <w:rPr>
          <w:rFonts w:eastAsia="Times New Roman"/>
          <w:bCs/>
          <w:noProof w:val="0"/>
          <w:color w:val="auto"/>
          <w:sz w:val="18"/>
          <w:szCs w:val="18"/>
          <w:lang w:eastAsia="en-US"/>
        </w:rPr>
        <w:t>, 246–266</w:t>
      </w:r>
      <w:r w:rsidRPr="00911143">
        <w:rPr>
          <w:rFonts w:eastAsia="Times New Roman"/>
          <w:noProof w:val="0"/>
          <w:color w:val="auto"/>
          <w:sz w:val="18"/>
          <w:szCs w:val="18"/>
          <w:lang w:eastAsia="en-US"/>
        </w:rPr>
        <w:t xml:space="preserve">, </w:t>
      </w:r>
      <w:proofErr w:type="gramStart"/>
      <w:r>
        <w:rPr>
          <w:rFonts w:eastAsia="Times New Roman"/>
          <w:noProof w:val="0"/>
          <w:color w:val="auto"/>
          <w:sz w:val="18"/>
          <w:szCs w:val="18"/>
          <w:lang w:eastAsia="en-US"/>
        </w:rPr>
        <w:t>doi:</w:t>
      </w:r>
      <w:r w:rsidRPr="00911143">
        <w:rPr>
          <w:rFonts w:eastAsia="Times New Roman"/>
          <w:noProof w:val="0"/>
          <w:color w:val="auto"/>
          <w:sz w:val="18"/>
          <w:szCs w:val="18"/>
          <w:lang w:eastAsia="en-US"/>
        </w:rPr>
        <w:t>10.1016/j.ejrh</w:t>
      </w:r>
      <w:proofErr w:type="gramEnd"/>
      <w:r w:rsidRPr="00911143">
        <w:rPr>
          <w:rFonts w:eastAsia="Times New Roman"/>
          <w:noProof w:val="0"/>
          <w:color w:val="auto"/>
          <w:sz w:val="18"/>
          <w:szCs w:val="18"/>
          <w:lang w:eastAsia="en-US"/>
        </w:rPr>
        <w:t>.2015.06.004.</w:t>
      </w:r>
    </w:p>
    <w:p w14:paraId="4D41DC56"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911143">
        <w:rPr>
          <w:rFonts w:eastAsia="Times New Roman"/>
          <w:noProof w:val="0"/>
          <w:color w:val="auto"/>
          <w:sz w:val="18"/>
          <w:szCs w:val="18"/>
          <w:lang w:eastAsia="en-US"/>
        </w:rPr>
        <w:t>Vautour</w:t>
      </w:r>
      <w:proofErr w:type="spellEnd"/>
      <w:r w:rsidRPr="00911143">
        <w:rPr>
          <w:rFonts w:eastAsia="Times New Roman"/>
          <w:noProof w:val="0"/>
          <w:color w:val="auto"/>
          <w:sz w:val="18"/>
          <w:szCs w:val="18"/>
          <w:lang w:eastAsia="en-US"/>
        </w:rPr>
        <w:t>, G.</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Pinti</w:t>
      </w:r>
      <w:proofErr w:type="spellEnd"/>
      <w:r w:rsidRPr="00911143">
        <w:rPr>
          <w:rFonts w:eastAsia="Times New Roman"/>
          <w:noProof w:val="0"/>
          <w:color w:val="auto"/>
          <w:sz w:val="18"/>
          <w:szCs w:val="18"/>
          <w:lang w:eastAsia="en-US"/>
        </w:rPr>
        <w:t>, D.L.</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Méjean</w:t>
      </w:r>
      <w:proofErr w:type="spellEnd"/>
      <w:r w:rsidRPr="00911143">
        <w:rPr>
          <w:rFonts w:eastAsia="Times New Roman"/>
          <w:noProof w:val="0"/>
          <w:color w:val="auto"/>
          <w:sz w:val="18"/>
          <w:szCs w:val="18"/>
          <w:lang w:eastAsia="en-US"/>
        </w:rPr>
        <w:t>, P.</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Saby</w:t>
      </w:r>
      <w:proofErr w:type="spellEnd"/>
      <w:r w:rsidRPr="00911143">
        <w:rPr>
          <w:rFonts w:eastAsia="Times New Roman"/>
          <w:noProof w:val="0"/>
          <w:color w:val="auto"/>
          <w:sz w:val="18"/>
          <w:szCs w:val="18"/>
          <w:lang w:eastAsia="en-US"/>
        </w:rPr>
        <w:t>, M.</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Meyzonnat, G.</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Larocque, M.</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Castro, M.C.</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Hall, C.M.</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Boucher, C.</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Roulleau</w:t>
      </w:r>
      <w:proofErr w:type="spellEnd"/>
      <w:r w:rsidRPr="00911143">
        <w:rPr>
          <w:rFonts w:eastAsia="Times New Roman"/>
          <w:noProof w:val="0"/>
          <w:color w:val="auto"/>
          <w:sz w:val="18"/>
          <w:szCs w:val="18"/>
          <w:lang w:eastAsia="en-US"/>
        </w:rPr>
        <w:t>, E.</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et al.</w:t>
      </w:r>
      <w:r w:rsidRPr="00911143">
        <w:rPr>
          <w:rFonts w:eastAsia="Times New Roman"/>
          <w:noProof w:val="0"/>
          <w:color w:val="auto"/>
          <w:sz w:val="18"/>
          <w:szCs w:val="18"/>
          <w:lang w:eastAsia="en-US"/>
        </w:rPr>
        <w:t xml:space="preserve"> 3H/3He, 14C and (U–Th)/He groundwater ages in the St. Lawrence Lowlands, Quebec, Eastern Canada. </w:t>
      </w:r>
      <w:r w:rsidRPr="003C2BE3">
        <w:rPr>
          <w:rFonts w:eastAsia="Times New Roman"/>
          <w:i/>
          <w:iCs/>
          <w:noProof w:val="0"/>
          <w:color w:val="auto"/>
          <w:sz w:val="18"/>
          <w:szCs w:val="18"/>
          <w:lang w:eastAsia="en-US"/>
        </w:rPr>
        <w:t>Chem. Geol.</w:t>
      </w:r>
      <w:r w:rsidRPr="00911143">
        <w:rPr>
          <w:rFonts w:eastAsia="Times New Roman"/>
          <w:noProof w:val="0"/>
          <w:color w:val="auto"/>
          <w:sz w:val="18"/>
          <w:szCs w:val="18"/>
          <w:lang w:eastAsia="en-US"/>
        </w:rPr>
        <w:t xml:space="preserve"> </w:t>
      </w:r>
      <w:r>
        <w:rPr>
          <w:rFonts w:eastAsia="Times New Roman"/>
          <w:b/>
          <w:noProof w:val="0"/>
          <w:color w:val="auto"/>
          <w:sz w:val="18"/>
          <w:szCs w:val="18"/>
          <w:lang w:eastAsia="en-US"/>
        </w:rPr>
        <w:t>2015</w:t>
      </w:r>
      <w:r>
        <w:rPr>
          <w:rFonts w:eastAsia="Times New Roman"/>
          <w:noProof w:val="0"/>
          <w:color w:val="auto"/>
          <w:sz w:val="18"/>
          <w:szCs w:val="18"/>
          <w:lang w:eastAsia="en-US"/>
        </w:rPr>
        <w:t xml:space="preserve">, </w:t>
      </w:r>
      <w:r>
        <w:rPr>
          <w:rFonts w:eastAsia="Times New Roman"/>
          <w:i/>
          <w:noProof w:val="0"/>
          <w:color w:val="auto"/>
          <w:sz w:val="18"/>
          <w:szCs w:val="18"/>
          <w:lang w:eastAsia="en-US"/>
        </w:rPr>
        <w:t>413</w:t>
      </w:r>
      <w:r>
        <w:rPr>
          <w:rFonts w:eastAsia="Times New Roman"/>
          <w:noProof w:val="0"/>
          <w:color w:val="auto"/>
          <w:sz w:val="18"/>
          <w:szCs w:val="18"/>
          <w:lang w:eastAsia="en-US"/>
        </w:rPr>
        <w:t>, 94–106</w:t>
      </w:r>
      <w:r w:rsidRPr="00911143">
        <w:rPr>
          <w:rFonts w:eastAsia="Times New Roman"/>
          <w:noProof w:val="0"/>
          <w:color w:val="auto"/>
          <w:sz w:val="18"/>
          <w:szCs w:val="18"/>
          <w:lang w:eastAsia="en-US"/>
        </w:rPr>
        <w:t>.</w:t>
      </w:r>
    </w:p>
    <w:p w14:paraId="72AEB990"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911143">
        <w:rPr>
          <w:rFonts w:eastAsia="Times New Roman"/>
          <w:noProof w:val="0"/>
          <w:color w:val="auto"/>
          <w:sz w:val="18"/>
          <w:szCs w:val="18"/>
          <w:lang w:eastAsia="en-US"/>
        </w:rPr>
        <w:t>Saby</w:t>
      </w:r>
      <w:proofErr w:type="spellEnd"/>
      <w:r w:rsidRPr="00911143">
        <w:rPr>
          <w:rFonts w:eastAsia="Times New Roman"/>
          <w:noProof w:val="0"/>
          <w:color w:val="auto"/>
          <w:sz w:val="18"/>
          <w:szCs w:val="18"/>
          <w:lang w:eastAsia="en-US"/>
        </w:rPr>
        <w:t xml:space="preserve">, M.; Larocque, M.; </w:t>
      </w:r>
      <w:proofErr w:type="spellStart"/>
      <w:r w:rsidRPr="00911143">
        <w:rPr>
          <w:rFonts w:eastAsia="Times New Roman"/>
          <w:noProof w:val="0"/>
          <w:color w:val="auto"/>
          <w:sz w:val="18"/>
          <w:szCs w:val="18"/>
          <w:lang w:eastAsia="en-US"/>
        </w:rPr>
        <w:t>Pinti</w:t>
      </w:r>
      <w:proofErr w:type="spellEnd"/>
      <w:r w:rsidRPr="00911143">
        <w:rPr>
          <w:rFonts w:eastAsia="Times New Roman"/>
          <w:noProof w:val="0"/>
          <w:color w:val="auto"/>
          <w:sz w:val="18"/>
          <w:szCs w:val="18"/>
          <w:lang w:eastAsia="en-US"/>
        </w:rPr>
        <w:t xml:space="preserve">, D.L.; </w:t>
      </w:r>
      <w:proofErr w:type="spellStart"/>
      <w:r w:rsidRPr="00911143">
        <w:rPr>
          <w:rFonts w:eastAsia="Times New Roman"/>
          <w:noProof w:val="0"/>
          <w:color w:val="auto"/>
          <w:sz w:val="18"/>
          <w:szCs w:val="18"/>
          <w:lang w:eastAsia="en-US"/>
        </w:rPr>
        <w:t>Barbecot</w:t>
      </w:r>
      <w:proofErr w:type="spellEnd"/>
      <w:r w:rsidRPr="00911143">
        <w:rPr>
          <w:rFonts w:eastAsia="Times New Roman"/>
          <w:noProof w:val="0"/>
          <w:color w:val="auto"/>
          <w:sz w:val="18"/>
          <w:szCs w:val="18"/>
          <w:lang w:eastAsia="en-US"/>
        </w:rPr>
        <w:t xml:space="preserve">, F.; Sano, Y.; Castro, M.C. Linking groundwater quality to residence times and regional geology in the St. Lawrence Lowlands, southern Quebec, Canada. </w:t>
      </w:r>
      <w:r w:rsidRPr="00911143">
        <w:rPr>
          <w:rFonts w:eastAsia="Times New Roman"/>
          <w:i/>
          <w:iCs/>
          <w:noProof w:val="0"/>
          <w:color w:val="auto"/>
          <w:sz w:val="18"/>
          <w:szCs w:val="18"/>
          <w:lang w:eastAsia="en-US"/>
        </w:rPr>
        <w:t>Appl. Geochem.</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2016</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65</w:t>
      </w:r>
      <w:r>
        <w:rPr>
          <w:rFonts w:eastAsia="Times New Roman"/>
          <w:bCs/>
          <w:noProof w:val="0"/>
          <w:color w:val="auto"/>
          <w:sz w:val="18"/>
          <w:szCs w:val="18"/>
          <w:lang w:eastAsia="en-US"/>
        </w:rPr>
        <w:t>, 1–13</w:t>
      </w:r>
      <w:r w:rsidRPr="00911143">
        <w:rPr>
          <w:rFonts w:eastAsia="Times New Roman"/>
          <w:noProof w:val="0"/>
          <w:color w:val="auto"/>
          <w:sz w:val="18"/>
          <w:szCs w:val="18"/>
          <w:lang w:eastAsia="en-US"/>
        </w:rPr>
        <w:t xml:space="preserve">, </w:t>
      </w:r>
      <w:proofErr w:type="gramStart"/>
      <w:r>
        <w:rPr>
          <w:rFonts w:eastAsia="Times New Roman"/>
          <w:noProof w:val="0"/>
          <w:color w:val="auto"/>
          <w:sz w:val="18"/>
          <w:szCs w:val="18"/>
          <w:lang w:eastAsia="en-US"/>
        </w:rPr>
        <w:t>doi:</w:t>
      </w:r>
      <w:r w:rsidRPr="00911143">
        <w:rPr>
          <w:rFonts w:eastAsia="Times New Roman"/>
          <w:noProof w:val="0"/>
          <w:color w:val="auto"/>
          <w:sz w:val="18"/>
          <w:szCs w:val="18"/>
          <w:lang w:eastAsia="en-US"/>
        </w:rPr>
        <w:t>10.1016/j.apgeochem</w:t>
      </w:r>
      <w:proofErr w:type="gramEnd"/>
      <w:r w:rsidRPr="00911143">
        <w:rPr>
          <w:rFonts w:eastAsia="Times New Roman"/>
          <w:noProof w:val="0"/>
          <w:color w:val="auto"/>
          <w:sz w:val="18"/>
          <w:szCs w:val="18"/>
          <w:lang w:eastAsia="en-US"/>
        </w:rPr>
        <w:t>.2015.10.011.</w:t>
      </w:r>
    </w:p>
    <w:p w14:paraId="3411BFDA"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Walter, J.; </w:t>
      </w:r>
      <w:proofErr w:type="spellStart"/>
      <w:r w:rsidRPr="00911143">
        <w:rPr>
          <w:rFonts w:eastAsia="Times New Roman"/>
          <w:noProof w:val="0"/>
          <w:color w:val="auto"/>
          <w:sz w:val="18"/>
          <w:szCs w:val="18"/>
          <w:lang w:eastAsia="en-US"/>
        </w:rPr>
        <w:t>Chesnaux</w:t>
      </w:r>
      <w:proofErr w:type="spellEnd"/>
      <w:r w:rsidRPr="00911143">
        <w:rPr>
          <w:rFonts w:eastAsia="Times New Roman"/>
          <w:noProof w:val="0"/>
          <w:color w:val="auto"/>
          <w:sz w:val="18"/>
          <w:szCs w:val="18"/>
          <w:lang w:eastAsia="en-US"/>
        </w:rPr>
        <w:t>, R.; Cloutier, V.; Gaboury, D. The influence of water/rock</w:t>
      </w:r>
      <w:r>
        <w:rPr>
          <w:rFonts w:eastAsia="Times New Roman"/>
          <w:noProof w:val="0"/>
          <w:color w:val="auto"/>
          <w:sz w:val="18"/>
          <w:szCs w:val="18"/>
          <w:lang w:eastAsia="en-US"/>
        </w:rPr>
        <w:t>—W</w:t>
      </w:r>
      <w:r w:rsidRPr="00911143">
        <w:rPr>
          <w:rFonts w:eastAsia="Times New Roman"/>
          <w:noProof w:val="0"/>
          <w:color w:val="auto"/>
          <w:sz w:val="18"/>
          <w:szCs w:val="18"/>
          <w:lang w:eastAsia="en-US"/>
        </w:rPr>
        <w:t xml:space="preserve">ater/clay interactions and mixing in the salinization processes of groundwater. </w:t>
      </w:r>
      <w:r w:rsidRPr="00911143">
        <w:rPr>
          <w:rFonts w:eastAsia="Times New Roman"/>
          <w:i/>
          <w:iCs/>
          <w:noProof w:val="0"/>
          <w:color w:val="auto"/>
          <w:sz w:val="18"/>
          <w:szCs w:val="18"/>
          <w:lang w:eastAsia="en-US"/>
        </w:rPr>
        <w:t xml:space="preserve">J. </w:t>
      </w:r>
      <w:proofErr w:type="spellStart"/>
      <w:r w:rsidRPr="00911143">
        <w:rPr>
          <w:rFonts w:eastAsia="Times New Roman"/>
          <w:i/>
          <w:iCs/>
          <w:noProof w:val="0"/>
          <w:color w:val="auto"/>
          <w:sz w:val="18"/>
          <w:szCs w:val="18"/>
          <w:lang w:eastAsia="en-US"/>
        </w:rPr>
        <w:t>Hydrol</w:t>
      </w:r>
      <w:proofErr w:type="spellEnd"/>
      <w:r w:rsidRPr="00911143">
        <w:rPr>
          <w:rFonts w:eastAsia="Times New Roman"/>
          <w:i/>
          <w:iCs/>
          <w:noProof w:val="0"/>
          <w:color w:val="auto"/>
          <w:sz w:val="18"/>
          <w:szCs w:val="18"/>
          <w:lang w:eastAsia="en-US"/>
        </w:rPr>
        <w:t>. Reg. Stud.</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2017</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13</w:t>
      </w:r>
      <w:r>
        <w:rPr>
          <w:rFonts w:eastAsia="Times New Roman"/>
          <w:bCs/>
          <w:noProof w:val="0"/>
          <w:color w:val="auto"/>
          <w:sz w:val="18"/>
          <w:szCs w:val="18"/>
          <w:lang w:eastAsia="en-US"/>
        </w:rPr>
        <w:t>, 168–188</w:t>
      </w:r>
      <w:r w:rsidRPr="00911143">
        <w:rPr>
          <w:rFonts w:eastAsia="Times New Roman"/>
          <w:noProof w:val="0"/>
          <w:color w:val="auto"/>
          <w:sz w:val="18"/>
          <w:szCs w:val="18"/>
          <w:lang w:eastAsia="en-US"/>
        </w:rPr>
        <w:t xml:space="preserve">, </w:t>
      </w:r>
      <w:proofErr w:type="gramStart"/>
      <w:r>
        <w:rPr>
          <w:rFonts w:eastAsia="Times New Roman"/>
          <w:noProof w:val="0"/>
          <w:color w:val="auto"/>
          <w:sz w:val="18"/>
          <w:szCs w:val="18"/>
          <w:lang w:eastAsia="en-US"/>
        </w:rPr>
        <w:t>doi:</w:t>
      </w:r>
      <w:r w:rsidRPr="00911143">
        <w:rPr>
          <w:rFonts w:eastAsia="Times New Roman"/>
          <w:noProof w:val="0"/>
          <w:color w:val="auto"/>
          <w:sz w:val="18"/>
          <w:szCs w:val="18"/>
          <w:lang w:eastAsia="en-US"/>
        </w:rPr>
        <w:t>10.1016/j.ejrh</w:t>
      </w:r>
      <w:proofErr w:type="gramEnd"/>
      <w:r w:rsidRPr="00911143">
        <w:rPr>
          <w:rFonts w:eastAsia="Times New Roman"/>
          <w:noProof w:val="0"/>
          <w:color w:val="auto"/>
          <w:sz w:val="18"/>
          <w:szCs w:val="18"/>
          <w:lang w:eastAsia="en-US"/>
        </w:rPr>
        <w:t>.2017.07.004.</w:t>
      </w:r>
    </w:p>
    <w:p w14:paraId="27F9CF76"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Beaudry, C.</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Lefebvre, R.</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Rivard</w:t>
      </w:r>
      <w:proofErr w:type="spellEnd"/>
      <w:r w:rsidRPr="00911143">
        <w:rPr>
          <w:rFonts w:eastAsia="Times New Roman"/>
          <w:noProof w:val="0"/>
          <w:color w:val="auto"/>
          <w:sz w:val="18"/>
          <w:szCs w:val="18"/>
          <w:lang w:eastAsia="en-US"/>
        </w:rPr>
        <w:t>, C.</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Cloutier, V. Conceptual model of regional groundwater flow based on </w:t>
      </w:r>
      <w:proofErr w:type="spellStart"/>
      <w:r w:rsidRPr="00911143">
        <w:rPr>
          <w:rFonts w:eastAsia="Times New Roman"/>
          <w:noProof w:val="0"/>
          <w:color w:val="auto"/>
          <w:sz w:val="18"/>
          <w:szCs w:val="18"/>
          <w:lang w:eastAsia="en-US"/>
        </w:rPr>
        <w:t>hydrogeochemistry</w:t>
      </w:r>
      <w:proofErr w:type="spellEnd"/>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Montérégie</w:t>
      </w:r>
      <w:proofErr w:type="spellEnd"/>
      <w:r w:rsidRPr="00911143">
        <w:rPr>
          <w:rFonts w:eastAsia="Times New Roman"/>
          <w:noProof w:val="0"/>
          <w:color w:val="auto"/>
          <w:sz w:val="18"/>
          <w:szCs w:val="18"/>
          <w:lang w:eastAsia="en-US"/>
        </w:rPr>
        <w:t xml:space="preserve"> Est, Québec, Canada). </w:t>
      </w:r>
      <w:r w:rsidRPr="0047132F">
        <w:rPr>
          <w:rFonts w:eastAsia="Times New Roman"/>
          <w:i/>
          <w:iCs/>
          <w:noProof w:val="0"/>
          <w:color w:val="auto"/>
          <w:sz w:val="18"/>
          <w:szCs w:val="18"/>
          <w:lang w:eastAsia="en-US"/>
        </w:rPr>
        <w:t>Can. Water Res. J.</w:t>
      </w:r>
      <w:r w:rsidRPr="00911143">
        <w:rPr>
          <w:rFonts w:eastAsia="Times New Roman"/>
          <w:noProof w:val="0"/>
          <w:color w:val="auto"/>
          <w:sz w:val="18"/>
          <w:szCs w:val="18"/>
          <w:lang w:eastAsia="en-US"/>
        </w:rPr>
        <w:t xml:space="preserve"> </w:t>
      </w:r>
      <w:r w:rsidRPr="0047132F">
        <w:rPr>
          <w:rFonts w:eastAsia="Times New Roman"/>
          <w:b/>
          <w:noProof w:val="0"/>
          <w:color w:val="auto"/>
          <w:sz w:val="18"/>
          <w:szCs w:val="18"/>
          <w:lang w:eastAsia="en-US"/>
        </w:rPr>
        <w:t>2018</w:t>
      </w:r>
      <w:r w:rsidRPr="0047132F">
        <w:rPr>
          <w:rFonts w:eastAsia="Times New Roman"/>
          <w:noProof w:val="0"/>
          <w:color w:val="auto"/>
          <w:sz w:val="18"/>
          <w:szCs w:val="18"/>
          <w:lang w:eastAsia="en-US"/>
        </w:rPr>
        <w:t xml:space="preserve">, </w:t>
      </w:r>
      <w:r w:rsidRPr="0047132F">
        <w:rPr>
          <w:rFonts w:eastAsia="Times New Roman"/>
          <w:i/>
          <w:noProof w:val="0"/>
          <w:color w:val="auto"/>
          <w:sz w:val="18"/>
          <w:szCs w:val="18"/>
          <w:lang w:eastAsia="en-US"/>
        </w:rPr>
        <w:t>43</w:t>
      </w:r>
      <w:r w:rsidRPr="0047132F">
        <w:rPr>
          <w:rFonts w:eastAsia="Times New Roman"/>
          <w:noProof w:val="0"/>
          <w:color w:val="auto"/>
          <w:sz w:val="18"/>
          <w:szCs w:val="18"/>
          <w:lang w:eastAsia="en-US"/>
        </w:rPr>
        <w:t>, 152–172</w:t>
      </w:r>
      <w:r w:rsidRPr="00911143">
        <w:rPr>
          <w:rFonts w:eastAsia="Times New Roman"/>
          <w:noProof w:val="0"/>
          <w:color w:val="auto"/>
          <w:sz w:val="18"/>
          <w:szCs w:val="18"/>
          <w:lang w:eastAsia="en-US"/>
        </w:rPr>
        <w:t>.</w:t>
      </w:r>
    </w:p>
    <w:p w14:paraId="35989D5C"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911143">
        <w:rPr>
          <w:rFonts w:eastAsia="Times New Roman"/>
          <w:noProof w:val="0"/>
          <w:color w:val="auto"/>
          <w:sz w:val="18"/>
          <w:szCs w:val="18"/>
          <w:lang w:eastAsia="en-US"/>
        </w:rPr>
        <w:t>Chaillou</w:t>
      </w:r>
      <w:proofErr w:type="spellEnd"/>
      <w:r w:rsidRPr="00911143">
        <w:rPr>
          <w:rFonts w:eastAsia="Times New Roman"/>
          <w:noProof w:val="0"/>
          <w:color w:val="auto"/>
          <w:sz w:val="18"/>
          <w:szCs w:val="18"/>
          <w:lang w:eastAsia="en-US"/>
        </w:rPr>
        <w:t>, G.</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Touchette, M.</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Buffin</w:t>
      </w:r>
      <w:proofErr w:type="spellEnd"/>
      <w:r w:rsidRPr="00911143">
        <w:rPr>
          <w:rFonts w:eastAsia="Times New Roman"/>
          <w:noProof w:val="0"/>
          <w:color w:val="auto"/>
          <w:sz w:val="18"/>
          <w:szCs w:val="18"/>
          <w:lang w:eastAsia="en-US"/>
        </w:rPr>
        <w:t>–</w:t>
      </w:r>
      <w:proofErr w:type="spellStart"/>
      <w:r w:rsidRPr="00911143">
        <w:rPr>
          <w:rFonts w:eastAsia="Times New Roman"/>
          <w:noProof w:val="0"/>
          <w:color w:val="auto"/>
          <w:sz w:val="18"/>
          <w:szCs w:val="18"/>
          <w:lang w:eastAsia="en-US"/>
        </w:rPr>
        <w:t>Bélanger</w:t>
      </w:r>
      <w:proofErr w:type="spellEnd"/>
      <w:r w:rsidRPr="00911143">
        <w:rPr>
          <w:rFonts w:eastAsia="Times New Roman"/>
          <w:noProof w:val="0"/>
          <w:color w:val="auto"/>
          <w:sz w:val="18"/>
          <w:szCs w:val="18"/>
          <w:lang w:eastAsia="en-US"/>
        </w:rPr>
        <w:t>, T.</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Cloutier, C.–A.</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Hétu</w:t>
      </w:r>
      <w:proofErr w:type="spellEnd"/>
      <w:r w:rsidRPr="00911143">
        <w:rPr>
          <w:rFonts w:eastAsia="Times New Roman"/>
          <w:noProof w:val="0"/>
          <w:color w:val="auto"/>
          <w:sz w:val="18"/>
          <w:szCs w:val="18"/>
          <w:lang w:eastAsia="en-US"/>
        </w:rPr>
        <w:t>, B.</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Roy, M.–A. Hydrogeochemical evolution and groundwater mineralization of shallow aquifers in the Bas–Saint–Laurent region, Québec, Canada. </w:t>
      </w:r>
      <w:r w:rsidRPr="0047132F">
        <w:rPr>
          <w:rFonts w:eastAsia="Times New Roman"/>
          <w:i/>
          <w:iCs/>
          <w:noProof w:val="0"/>
          <w:color w:val="auto"/>
          <w:sz w:val="18"/>
          <w:szCs w:val="18"/>
          <w:lang w:eastAsia="en-US"/>
        </w:rPr>
        <w:t>Can. Water Res. J.</w:t>
      </w:r>
      <w:r w:rsidRPr="00911143">
        <w:rPr>
          <w:rFonts w:eastAsia="Times New Roman"/>
          <w:noProof w:val="0"/>
          <w:color w:val="auto"/>
          <w:sz w:val="18"/>
          <w:szCs w:val="18"/>
          <w:lang w:eastAsia="en-US"/>
        </w:rPr>
        <w:t xml:space="preserve"> </w:t>
      </w:r>
      <w:r w:rsidRPr="0047132F">
        <w:rPr>
          <w:rFonts w:eastAsia="Times New Roman"/>
          <w:b/>
          <w:noProof w:val="0"/>
          <w:color w:val="auto"/>
          <w:sz w:val="18"/>
          <w:szCs w:val="18"/>
          <w:lang w:eastAsia="en-US"/>
        </w:rPr>
        <w:t>2018</w:t>
      </w:r>
      <w:r w:rsidRPr="0047132F">
        <w:rPr>
          <w:rFonts w:eastAsia="Times New Roman"/>
          <w:noProof w:val="0"/>
          <w:color w:val="auto"/>
          <w:sz w:val="18"/>
          <w:szCs w:val="18"/>
          <w:lang w:eastAsia="en-US"/>
        </w:rPr>
        <w:t xml:space="preserve">, </w:t>
      </w:r>
      <w:r w:rsidRPr="0047132F">
        <w:rPr>
          <w:rFonts w:eastAsia="Times New Roman"/>
          <w:i/>
          <w:noProof w:val="0"/>
          <w:color w:val="auto"/>
          <w:sz w:val="18"/>
          <w:szCs w:val="18"/>
          <w:lang w:eastAsia="en-US"/>
        </w:rPr>
        <w:t>43</w:t>
      </w:r>
      <w:r w:rsidRPr="0047132F">
        <w:rPr>
          <w:rFonts w:eastAsia="Times New Roman"/>
          <w:noProof w:val="0"/>
          <w:color w:val="auto"/>
          <w:sz w:val="18"/>
          <w:szCs w:val="18"/>
          <w:lang w:eastAsia="en-US"/>
        </w:rPr>
        <w:t>, 136–151</w:t>
      </w:r>
      <w:r w:rsidRPr="00911143">
        <w:rPr>
          <w:rFonts w:eastAsia="Times New Roman"/>
          <w:noProof w:val="0"/>
          <w:color w:val="auto"/>
          <w:sz w:val="18"/>
          <w:szCs w:val="18"/>
          <w:lang w:eastAsia="en-US"/>
        </w:rPr>
        <w:t>.</w:t>
      </w:r>
    </w:p>
    <w:p w14:paraId="3AD9B4CE"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911143">
        <w:rPr>
          <w:rFonts w:eastAsia="Times New Roman"/>
          <w:noProof w:val="0"/>
          <w:color w:val="auto"/>
          <w:sz w:val="18"/>
          <w:szCs w:val="18"/>
          <w:lang w:eastAsia="en-US"/>
        </w:rPr>
        <w:t>Bondu</w:t>
      </w:r>
      <w:proofErr w:type="spellEnd"/>
      <w:r w:rsidRPr="00911143">
        <w:rPr>
          <w:rFonts w:eastAsia="Times New Roman"/>
          <w:noProof w:val="0"/>
          <w:color w:val="auto"/>
          <w:sz w:val="18"/>
          <w:szCs w:val="18"/>
          <w:lang w:eastAsia="en-US"/>
        </w:rPr>
        <w:t xml:space="preserve">, R.; Cloutier, V.; Rosa, E.; Roy, M. An exploratory data analysis approach for assessing the sources and distribution of naturally occurring contaminants (F, Ba, Mn, As) in groundwater from southern Quebec (Canada). </w:t>
      </w:r>
      <w:r w:rsidRPr="00911143">
        <w:rPr>
          <w:rFonts w:eastAsia="Times New Roman"/>
          <w:i/>
          <w:iCs/>
          <w:noProof w:val="0"/>
          <w:color w:val="auto"/>
          <w:sz w:val="18"/>
          <w:szCs w:val="18"/>
          <w:lang w:eastAsia="en-US"/>
        </w:rPr>
        <w:t>Appl. Geochem.</w:t>
      </w:r>
      <w:r w:rsidRPr="00911143">
        <w:rPr>
          <w:rFonts w:eastAsia="Times New Roman"/>
          <w:noProof w:val="0"/>
          <w:color w:val="auto"/>
          <w:sz w:val="18"/>
          <w:szCs w:val="18"/>
          <w:lang w:eastAsia="en-US"/>
        </w:rPr>
        <w:t xml:space="preserve"> </w:t>
      </w:r>
      <w:r w:rsidRPr="0047132F">
        <w:rPr>
          <w:rFonts w:eastAsia="Times New Roman"/>
          <w:b/>
          <w:bCs/>
          <w:noProof w:val="0"/>
          <w:color w:val="auto"/>
          <w:sz w:val="18"/>
          <w:szCs w:val="18"/>
          <w:lang w:eastAsia="en-US"/>
        </w:rPr>
        <w:t>2020</w:t>
      </w:r>
      <w:r w:rsidRPr="0047132F">
        <w:rPr>
          <w:rFonts w:eastAsia="Times New Roman"/>
          <w:bCs/>
          <w:noProof w:val="0"/>
          <w:color w:val="auto"/>
          <w:sz w:val="18"/>
          <w:szCs w:val="18"/>
          <w:lang w:eastAsia="en-US"/>
        </w:rPr>
        <w:t xml:space="preserve">, </w:t>
      </w:r>
      <w:r w:rsidRPr="0047132F">
        <w:rPr>
          <w:rFonts w:eastAsia="Times New Roman"/>
          <w:bCs/>
          <w:i/>
          <w:noProof w:val="0"/>
          <w:color w:val="auto"/>
          <w:sz w:val="18"/>
          <w:szCs w:val="18"/>
          <w:lang w:eastAsia="en-US"/>
        </w:rPr>
        <w:t>114</w:t>
      </w:r>
      <w:r w:rsidRPr="0047132F">
        <w:rPr>
          <w:rFonts w:eastAsia="Times New Roman"/>
          <w:bCs/>
          <w:noProof w:val="0"/>
          <w:color w:val="auto"/>
          <w:sz w:val="18"/>
          <w:szCs w:val="18"/>
          <w:lang w:eastAsia="en-US"/>
        </w:rPr>
        <w:t>, 104500</w:t>
      </w:r>
      <w:r w:rsidRPr="00911143">
        <w:rPr>
          <w:rFonts w:eastAsia="Times New Roman"/>
          <w:noProof w:val="0"/>
          <w:color w:val="auto"/>
          <w:sz w:val="18"/>
          <w:szCs w:val="18"/>
          <w:lang w:eastAsia="en-US"/>
        </w:rPr>
        <w:t xml:space="preserve">, </w:t>
      </w:r>
      <w:proofErr w:type="gramStart"/>
      <w:r w:rsidRPr="0047132F">
        <w:rPr>
          <w:rFonts w:eastAsia="Times New Roman"/>
          <w:noProof w:val="0"/>
          <w:color w:val="auto"/>
          <w:sz w:val="18"/>
          <w:szCs w:val="18"/>
          <w:lang w:eastAsia="en-US"/>
        </w:rPr>
        <w:t>doi:</w:t>
      </w:r>
      <w:r w:rsidRPr="00911143">
        <w:rPr>
          <w:rFonts w:eastAsia="Times New Roman"/>
          <w:noProof w:val="0"/>
          <w:color w:val="auto"/>
          <w:sz w:val="18"/>
          <w:szCs w:val="18"/>
          <w:lang w:eastAsia="en-US"/>
        </w:rPr>
        <w:t>10.1016/j.apgeochem</w:t>
      </w:r>
      <w:proofErr w:type="gramEnd"/>
      <w:r w:rsidRPr="00911143">
        <w:rPr>
          <w:rFonts w:eastAsia="Times New Roman"/>
          <w:noProof w:val="0"/>
          <w:color w:val="auto"/>
          <w:sz w:val="18"/>
          <w:szCs w:val="18"/>
          <w:lang w:eastAsia="en-US"/>
        </w:rPr>
        <w:t>.2019.104500.</w:t>
      </w:r>
    </w:p>
    <w:p w14:paraId="4CFA0945" w14:textId="735AF939"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Vogel, J.C. </w:t>
      </w:r>
      <w:r w:rsidRPr="00442B80">
        <w:rPr>
          <w:rFonts w:eastAsia="Times New Roman"/>
          <w:i/>
          <w:iCs/>
          <w:noProof w:val="0"/>
          <w:color w:val="auto"/>
          <w:sz w:val="18"/>
          <w:szCs w:val="18"/>
          <w:lang w:eastAsia="en-US"/>
        </w:rPr>
        <w:t>Investigation of groundwater flow with radiocarbon Isotopes in hydrology</w:t>
      </w:r>
      <w:r w:rsidR="004B627E">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r w:rsidRPr="00B3290F">
        <w:rPr>
          <w:rFonts w:eastAsia="Times New Roman"/>
          <w:noProof w:val="0"/>
          <w:color w:val="auto"/>
          <w:sz w:val="18"/>
          <w:szCs w:val="18"/>
          <w:lang w:eastAsia="en-US"/>
        </w:rPr>
        <w:t xml:space="preserve">Int. Atom. Energy </w:t>
      </w:r>
      <w:proofErr w:type="spellStart"/>
      <w:r w:rsidRPr="00B3290F">
        <w:rPr>
          <w:rFonts w:eastAsia="Times New Roman"/>
          <w:noProof w:val="0"/>
          <w:color w:val="auto"/>
          <w:sz w:val="18"/>
          <w:szCs w:val="18"/>
          <w:lang w:eastAsia="en-US"/>
        </w:rPr>
        <w:t>Agen</w:t>
      </w:r>
      <w:proofErr w:type="spellEnd"/>
      <w:r w:rsidRPr="00B3290F">
        <w:rPr>
          <w:rFonts w:eastAsia="Times New Roman"/>
          <w:noProof w:val="0"/>
          <w:color w:val="auto"/>
          <w:sz w:val="18"/>
          <w:szCs w:val="18"/>
          <w:lang w:eastAsia="en-US"/>
        </w:rPr>
        <w:t>.</w:t>
      </w:r>
      <w:r w:rsidR="004B627E">
        <w:rPr>
          <w:rFonts w:eastAsia="Times New Roman"/>
          <w:noProof w:val="0"/>
          <w:color w:val="auto"/>
          <w:sz w:val="18"/>
          <w:szCs w:val="18"/>
          <w:lang w:eastAsia="en-US"/>
        </w:rPr>
        <w:t>:</w:t>
      </w:r>
      <w:r w:rsidR="004602C2">
        <w:rPr>
          <w:rFonts w:eastAsia="Times New Roman"/>
          <w:b/>
          <w:bCs/>
          <w:noProof w:val="0"/>
          <w:color w:val="auto"/>
          <w:sz w:val="18"/>
          <w:szCs w:val="18"/>
          <w:lang w:eastAsia="en-US"/>
        </w:rPr>
        <w:t xml:space="preserve"> </w:t>
      </w:r>
      <w:r w:rsidR="004B627E" w:rsidRPr="004B627E">
        <w:rPr>
          <w:rFonts w:eastAsia="Times New Roman"/>
          <w:noProof w:val="0"/>
          <w:color w:val="auto"/>
          <w:sz w:val="18"/>
          <w:szCs w:val="18"/>
          <w:lang w:eastAsia="en-US"/>
        </w:rPr>
        <w:t>Vienna, Austria</w:t>
      </w:r>
      <w:r w:rsidR="00823ED7">
        <w:rPr>
          <w:rFonts w:eastAsia="Times New Roman"/>
          <w:noProof w:val="0"/>
          <w:color w:val="auto"/>
          <w:sz w:val="18"/>
          <w:szCs w:val="18"/>
          <w:lang w:eastAsia="en-US"/>
        </w:rPr>
        <w:t>,</w:t>
      </w:r>
      <w:r w:rsidRPr="00823ED7">
        <w:rPr>
          <w:rFonts w:eastAsia="Times New Roman"/>
          <w:noProof w:val="0"/>
          <w:color w:val="auto"/>
          <w:sz w:val="18"/>
          <w:szCs w:val="18"/>
          <w:lang w:eastAsia="en-US"/>
        </w:rPr>
        <w:t>1967</w:t>
      </w:r>
      <w:r w:rsidRPr="00911143">
        <w:rPr>
          <w:rFonts w:eastAsia="Times New Roman"/>
          <w:noProof w:val="0"/>
          <w:color w:val="auto"/>
          <w:sz w:val="18"/>
          <w:szCs w:val="18"/>
          <w:lang w:eastAsia="en-US"/>
        </w:rPr>
        <w:t xml:space="preserve"> </w:t>
      </w:r>
      <w:r w:rsidR="00823ED7">
        <w:rPr>
          <w:rFonts w:eastAsia="Times New Roman"/>
          <w:noProof w:val="0"/>
          <w:color w:val="auto"/>
          <w:sz w:val="18"/>
          <w:szCs w:val="18"/>
          <w:lang w:eastAsia="en-US"/>
        </w:rPr>
        <w:t xml:space="preserve">pp. </w:t>
      </w:r>
      <w:r w:rsidRPr="00911143">
        <w:rPr>
          <w:rFonts w:eastAsia="Times New Roman"/>
          <w:noProof w:val="0"/>
          <w:color w:val="auto"/>
          <w:sz w:val="18"/>
          <w:szCs w:val="18"/>
          <w:lang w:eastAsia="en-US"/>
        </w:rPr>
        <w:t>355–369.</w:t>
      </w:r>
    </w:p>
    <w:p w14:paraId="2F426C04" w14:textId="1EA6EAC4"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911143">
        <w:rPr>
          <w:rFonts w:eastAsia="Times New Roman"/>
          <w:noProof w:val="0"/>
          <w:color w:val="auto"/>
          <w:sz w:val="18"/>
          <w:szCs w:val="18"/>
          <w:lang w:eastAsia="en-US"/>
        </w:rPr>
        <w:t>Corcho</w:t>
      </w:r>
      <w:proofErr w:type="spellEnd"/>
      <w:r w:rsidRPr="00911143">
        <w:rPr>
          <w:rFonts w:eastAsia="Times New Roman"/>
          <w:noProof w:val="0"/>
          <w:color w:val="auto"/>
          <w:sz w:val="18"/>
          <w:szCs w:val="18"/>
          <w:lang w:eastAsia="en-US"/>
        </w:rPr>
        <w:t xml:space="preserve"> Alvarado, J.A.</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Purtschert</w:t>
      </w:r>
      <w:proofErr w:type="spellEnd"/>
      <w:r w:rsidRPr="00911143">
        <w:rPr>
          <w:rFonts w:eastAsia="Times New Roman"/>
          <w:noProof w:val="0"/>
          <w:color w:val="auto"/>
          <w:sz w:val="18"/>
          <w:szCs w:val="18"/>
          <w:lang w:eastAsia="en-US"/>
        </w:rPr>
        <w:t>, R.</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Barbecot</w:t>
      </w:r>
      <w:proofErr w:type="spellEnd"/>
      <w:r w:rsidRPr="00911143">
        <w:rPr>
          <w:rFonts w:eastAsia="Times New Roman"/>
          <w:noProof w:val="0"/>
          <w:color w:val="auto"/>
          <w:sz w:val="18"/>
          <w:szCs w:val="18"/>
          <w:lang w:eastAsia="en-US"/>
        </w:rPr>
        <w:t>, F.</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Chabault</w:t>
      </w:r>
      <w:proofErr w:type="spellEnd"/>
      <w:r w:rsidRPr="00911143">
        <w:rPr>
          <w:rFonts w:eastAsia="Times New Roman"/>
          <w:noProof w:val="0"/>
          <w:color w:val="auto"/>
          <w:sz w:val="18"/>
          <w:szCs w:val="18"/>
          <w:lang w:eastAsia="en-US"/>
        </w:rPr>
        <w:t>, C.</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Rueedi</w:t>
      </w:r>
      <w:proofErr w:type="spellEnd"/>
      <w:r w:rsidRPr="00911143">
        <w:rPr>
          <w:rFonts w:eastAsia="Times New Roman"/>
          <w:noProof w:val="0"/>
          <w:color w:val="auto"/>
          <w:sz w:val="18"/>
          <w:szCs w:val="18"/>
          <w:lang w:eastAsia="en-US"/>
        </w:rPr>
        <w:t>, J.</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Schneider, V.</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Aeschbach</w:t>
      </w:r>
      <w:proofErr w:type="spellEnd"/>
      <w:r w:rsidRPr="00911143">
        <w:rPr>
          <w:rFonts w:eastAsia="Times New Roman"/>
          <w:noProof w:val="0"/>
          <w:color w:val="auto"/>
          <w:sz w:val="18"/>
          <w:szCs w:val="18"/>
          <w:lang w:eastAsia="en-US"/>
        </w:rPr>
        <w:t>–</w:t>
      </w:r>
      <w:proofErr w:type="spellStart"/>
      <w:r w:rsidRPr="00911143">
        <w:rPr>
          <w:rFonts w:eastAsia="Times New Roman"/>
          <w:noProof w:val="0"/>
          <w:color w:val="auto"/>
          <w:sz w:val="18"/>
          <w:szCs w:val="18"/>
          <w:lang w:eastAsia="en-US"/>
        </w:rPr>
        <w:t>Hertig</w:t>
      </w:r>
      <w:proofErr w:type="spellEnd"/>
      <w:r w:rsidRPr="00911143">
        <w:rPr>
          <w:rFonts w:eastAsia="Times New Roman"/>
          <w:noProof w:val="0"/>
          <w:color w:val="auto"/>
          <w:sz w:val="18"/>
          <w:szCs w:val="18"/>
          <w:lang w:eastAsia="en-US"/>
        </w:rPr>
        <w:t>, W.</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Kipfer</w:t>
      </w:r>
      <w:proofErr w:type="spellEnd"/>
      <w:r w:rsidRPr="00911143">
        <w:rPr>
          <w:rFonts w:eastAsia="Times New Roman"/>
          <w:noProof w:val="0"/>
          <w:color w:val="auto"/>
          <w:sz w:val="18"/>
          <w:szCs w:val="18"/>
          <w:lang w:eastAsia="en-US"/>
        </w:rPr>
        <w:t>, R.</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Loosli</w:t>
      </w:r>
      <w:proofErr w:type="spellEnd"/>
      <w:r w:rsidRPr="00911143">
        <w:rPr>
          <w:rFonts w:eastAsia="Times New Roman"/>
          <w:noProof w:val="0"/>
          <w:color w:val="auto"/>
          <w:sz w:val="18"/>
          <w:szCs w:val="18"/>
          <w:lang w:eastAsia="en-US"/>
        </w:rPr>
        <w:t xml:space="preserve">, H.H. Constraining the age distribution of highly mixed groundwater using 39Ar: A multiple environmental tracer (3H/3He, 85Kr, 39Ar, and 14C) study in the semiconfined Fontainebleau Sands Aquifer (France). </w:t>
      </w:r>
      <w:r w:rsidRPr="00911143">
        <w:rPr>
          <w:rFonts w:eastAsia="Times New Roman"/>
          <w:i/>
          <w:iCs/>
          <w:noProof w:val="0"/>
          <w:color w:val="auto"/>
          <w:sz w:val="18"/>
          <w:szCs w:val="18"/>
          <w:lang w:eastAsia="en-US"/>
        </w:rPr>
        <w:t>Water Res</w:t>
      </w:r>
      <w:r w:rsidRPr="00C9553E">
        <w:rPr>
          <w:rFonts w:eastAsia="Times New Roman"/>
          <w:i/>
          <w:iCs/>
          <w:noProof w:val="0"/>
          <w:color w:val="auto"/>
          <w:sz w:val="18"/>
          <w:szCs w:val="18"/>
          <w:lang w:eastAsia="en-US"/>
        </w:rPr>
        <w:t>.</w:t>
      </w:r>
      <w:r w:rsidRPr="00911143">
        <w:rPr>
          <w:rFonts w:eastAsia="Times New Roman"/>
          <w:i/>
          <w:iCs/>
          <w:noProof w:val="0"/>
          <w:color w:val="auto"/>
          <w:sz w:val="18"/>
          <w:szCs w:val="18"/>
          <w:lang w:eastAsia="en-US"/>
        </w:rPr>
        <w:t xml:space="preserve"> Res</w:t>
      </w:r>
      <w:r w:rsidRPr="00C9553E">
        <w:rPr>
          <w:rFonts w:eastAsia="Times New Roman"/>
          <w:i/>
          <w:iCs/>
          <w:noProof w:val="0"/>
          <w:color w:val="auto"/>
          <w:sz w:val="18"/>
          <w:szCs w:val="18"/>
          <w:lang w:eastAsia="en-US"/>
        </w:rPr>
        <w:t>.</w:t>
      </w:r>
      <w:r w:rsidRPr="00911143">
        <w:rPr>
          <w:rFonts w:eastAsia="Times New Roman"/>
          <w:noProof w:val="0"/>
          <w:color w:val="auto"/>
          <w:sz w:val="18"/>
          <w:szCs w:val="18"/>
          <w:lang w:eastAsia="en-US"/>
        </w:rPr>
        <w:t xml:space="preserve"> </w:t>
      </w:r>
      <w:r w:rsidRPr="00911143">
        <w:rPr>
          <w:rFonts w:eastAsia="Times New Roman"/>
          <w:b/>
          <w:bCs/>
          <w:noProof w:val="0"/>
          <w:color w:val="auto"/>
          <w:sz w:val="18"/>
          <w:szCs w:val="18"/>
          <w:lang w:eastAsia="en-US"/>
        </w:rPr>
        <w:t>2007</w:t>
      </w:r>
      <w:r w:rsidRPr="00911143">
        <w:rPr>
          <w:rFonts w:eastAsia="Times New Roman"/>
          <w:noProof w:val="0"/>
          <w:color w:val="auto"/>
          <w:sz w:val="18"/>
          <w:szCs w:val="18"/>
          <w:lang w:eastAsia="en-US"/>
        </w:rPr>
        <w:t xml:space="preserve">, </w:t>
      </w:r>
      <w:r w:rsidRPr="00E43C14">
        <w:rPr>
          <w:rFonts w:eastAsia="Times New Roman"/>
          <w:i/>
          <w:iCs/>
          <w:noProof w:val="0"/>
          <w:color w:val="auto"/>
          <w:sz w:val="18"/>
          <w:szCs w:val="18"/>
          <w:lang w:eastAsia="en-US"/>
        </w:rPr>
        <w:t>43</w:t>
      </w:r>
      <w:r w:rsidR="00E43C14">
        <w:rPr>
          <w:rFonts w:eastAsia="Times New Roman"/>
          <w:i/>
          <w:iCs/>
          <w:noProof w:val="0"/>
          <w:color w:val="auto"/>
          <w:sz w:val="18"/>
          <w:szCs w:val="18"/>
          <w:lang w:eastAsia="en-US"/>
        </w:rPr>
        <w:t xml:space="preserve">, </w:t>
      </w:r>
      <w:r w:rsidR="00E43C14" w:rsidRPr="00A466AF">
        <w:rPr>
          <w:rFonts w:eastAsia="Times New Roman"/>
          <w:noProof w:val="0"/>
          <w:color w:val="auto"/>
          <w:sz w:val="18"/>
          <w:szCs w:val="18"/>
          <w:lang w:eastAsia="en-US"/>
        </w:rPr>
        <w:t>doi:10.1029/2006WR005096</w:t>
      </w:r>
      <w:r w:rsidRPr="00911143">
        <w:rPr>
          <w:rFonts w:eastAsia="Times New Roman"/>
          <w:noProof w:val="0"/>
          <w:color w:val="auto"/>
          <w:sz w:val="18"/>
          <w:szCs w:val="18"/>
          <w:lang w:eastAsia="en-US"/>
        </w:rPr>
        <w:t>.</w:t>
      </w:r>
    </w:p>
    <w:p w14:paraId="2236A807"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Visser, A.; </w:t>
      </w:r>
      <w:proofErr w:type="spellStart"/>
      <w:r w:rsidRPr="00911143">
        <w:rPr>
          <w:rFonts w:eastAsia="Times New Roman"/>
          <w:noProof w:val="0"/>
          <w:color w:val="auto"/>
          <w:sz w:val="18"/>
          <w:szCs w:val="18"/>
          <w:lang w:eastAsia="en-US"/>
        </w:rPr>
        <w:t>Broers</w:t>
      </w:r>
      <w:proofErr w:type="spellEnd"/>
      <w:r w:rsidRPr="00911143">
        <w:rPr>
          <w:rFonts w:eastAsia="Times New Roman"/>
          <w:noProof w:val="0"/>
          <w:color w:val="auto"/>
          <w:sz w:val="18"/>
          <w:szCs w:val="18"/>
          <w:lang w:eastAsia="en-US"/>
        </w:rPr>
        <w:t xml:space="preserve">, H.P.; </w:t>
      </w:r>
      <w:proofErr w:type="spellStart"/>
      <w:r w:rsidRPr="00911143">
        <w:rPr>
          <w:rFonts w:eastAsia="Times New Roman"/>
          <w:noProof w:val="0"/>
          <w:color w:val="auto"/>
          <w:sz w:val="18"/>
          <w:szCs w:val="18"/>
          <w:lang w:eastAsia="en-US"/>
        </w:rPr>
        <w:t>Purtschert</w:t>
      </w:r>
      <w:proofErr w:type="spellEnd"/>
      <w:r w:rsidRPr="00911143">
        <w:rPr>
          <w:rFonts w:eastAsia="Times New Roman"/>
          <w:noProof w:val="0"/>
          <w:color w:val="auto"/>
          <w:sz w:val="18"/>
          <w:szCs w:val="18"/>
          <w:lang w:eastAsia="en-US"/>
        </w:rPr>
        <w:t xml:space="preserve">, R.; </w:t>
      </w:r>
      <w:proofErr w:type="spellStart"/>
      <w:r w:rsidRPr="00911143">
        <w:rPr>
          <w:rFonts w:eastAsia="Times New Roman"/>
          <w:noProof w:val="0"/>
          <w:color w:val="auto"/>
          <w:sz w:val="18"/>
          <w:szCs w:val="18"/>
          <w:lang w:eastAsia="en-US"/>
        </w:rPr>
        <w:t>Sültenfuß</w:t>
      </w:r>
      <w:proofErr w:type="spellEnd"/>
      <w:r w:rsidRPr="00911143">
        <w:rPr>
          <w:rFonts w:eastAsia="Times New Roman"/>
          <w:noProof w:val="0"/>
          <w:color w:val="auto"/>
          <w:sz w:val="18"/>
          <w:szCs w:val="18"/>
          <w:lang w:eastAsia="en-US"/>
        </w:rPr>
        <w:t xml:space="preserve">, J.; De </w:t>
      </w:r>
      <w:proofErr w:type="spellStart"/>
      <w:r w:rsidRPr="00911143">
        <w:rPr>
          <w:rFonts w:eastAsia="Times New Roman"/>
          <w:noProof w:val="0"/>
          <w:color w:val="auto"/>
          <w:sz w:val="18"/>
          <w:szCs w:val="18"/>
          <w:lang w:eastAsia="en-US"/>
        </w:rPr>
        <w:t>Jonge</w:t>
      </w:r>
      <w:proofErr w:type="spellEnd"/>
      <w:r w:rsidRPr="00911143">
        <w:rPr>
          <w:rFonts w:eastAsia="Times New Roman"/>
          <w:noProof w:val="0"/>
          <w:color w:val="auto"/>
          <w:sz w:val="18"/>
          <w:szCs w:val="18"/>
          <w:lang w:eastAsia="en-US"/>
        </w:rPr>
        <w:t xml:space="preserve">, M. Groundwater age distributions at a public drinking water supply well field derived from multiple age tracers (85Kr,3H/3He, and39Ar). </w:t>
      </w:r>
      <w:r w:rsidRPr="00911143">
        <w:rPr>
          <w:rFonts w:eastAsia="Times New Roman"/>
          <w:i/>
          <w:iCs/>
          <w:noProof w:val="0"/>
          <w:color w:val="auto"/>
          <w:sz w:val="18"/>
          <w:szCs w:val="18"/>
          <w:lang w:eastAsia="en-US"/>
        </w:rPr>
        <w:t xml:space="preserve">Water </w:t>
      </w:r>
      <w:proofErr w:type="spellStart"/>
      <w:r w:rsidRPr="00911143">
        <w:rPr>
          <w:rFonts w:eastAsia="Times New Roman"/>
          <w:i/>
          <w:iCs/>
          <w:noProof w:val="0"/>
          <w:color w:val="auto"/>
          <w:sz w:val="18"/>
          <w:szCs w:val="18"/>
          <w:lang w:eastAsia="en-US"/>
        </w:rPr>
        <w:t>Resour</w:t>
      </w:r>
      <w:proofErr w:type="spellEnd"/>
      <w:r w:rsidRPr="00911143">
        <w:rPr>
          <w:rFonts w:eastAsia="Times New Roman"/>
          <w:i/>
          <w:iCs/>
          <w:noProof w:val="0"/>
          <w:color w:val="auto"/>
          <w:sz w:val="18"/>
          <w:szCs w:val="18"/>
          <w:lang w:eastAsia="en-US"/>
        </w:rPr>
        <w:t>. Res.</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2013</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49</w:t>
      </w:r>
      <w:r>
        <w:rPr>
          <w:rFonts w:eastAsia="Times New Roman"/>
          <w:bCs/>
          <w:noProof w:val="0"/>
          <w:color w:val="auto"/>
          <w:sz w:val="18"/>
          <w:szCs w:val="18"/>
          <w:lang w:eastAsia="en-US"/>
        </w:rPr>
        <w:t>, 7778–7796</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10.1002/2013wr014012.</w:t>
      </w:r>
    </w:p>
    <w:p w14:paraId="25D8CE77"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911143">
        <w:rPr>
          <w:rFonts w:eastAsia="Times New Roman"/>
          <w:noProof w:val="0"/>
          <w:color w:val="auto"/>
          <w:sz w:val="18"/>
          <w:szCs w:val="18"/>
          <w:lang w:eastAsia="en-US"/>
        </w:rPr>
        <w:t>Appelo</w:t>
      </w:r>
      <w:proofErr w:type="spellEnd"/>
      <w:r w:rsidRPr="00911143">
        <w:rPr>
          <w:rFonts w:eastAsia="Times New Roman"/>
          <w:noProof w:val="0"/>
          <w:color w:val="auto"/>
          <w:sz w:val="18"/>
          <w:szCs w:val="18"/>
          <w:lang w:eastAsia="en-US"/>
        </w:rPr>
        <w:t>, C.A.J.</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Postma, D. </w:t>
      </w:r>
      <w:r w:rsidRPr="00911143">
        <w:rPr>
          <w:rFonts w:eastAsia="Times New Roman"/>
          <w:i/>
          <w:iCs/>
          <w:noProof w:val="0"/>
          <w:color w:val="auto"/>
          <w:sz w:val="18"/>
          <w:szCs w:val="18"/>
          <w:lang w:eastAsia="en-US"/>
        </w:rPr>
        <w:t>Geochemistry, Groundwater and Pollution</w:t>
      </w:r>
      <w:r w:rsidRPr="00911143">
        <w:rPr>
          <w:rFonts w:eastAsia="Times New Roman"/>
          <w:noProof w:val="0"/>
          <w:color w:val="auto"/>
          <w:sz w:val="18"/>
          <w:szCs w:val="18"/>
          <w:lang w:eastAsia="en-US"/>
        </w:rPr>
        <w:t>, 2nd ed.</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A.A. </w:t>
      </w:r>
      <w:proofErr w:type="spellStart"/>
      <w:r w:rsidRPr="00911143">
        <w:rPr>
          <w:rFonts w:eastAsia="Times New Roman"/>
          <w:noProof w:val="0"/>
          <w:color w:val="auto"/>
          <w:sz w:val="18"/>
          <w:szCs w:val="18"/>
          <w:lang w:eastAsia="en-US"/>
        </w:rPr>
        <w:t>Balkema</w:t>
      </w:r>
      <w:proofErr w:type="spellEnd"/>
      <w:r w:rsidRPr="00911143">
        <w:rPr>
          <w:rFonts w:eastAsia="Times New Roman"/>
          <w:noProof w:val="0"/>
          <w:color w:val="auto"/>
          <w:sz w:val="18"/>
          <w:szCs w:val="18"/>
          <w:lang w:eastAsia="en-US"/>
        </w:rPr>
        <w:t xml:space="preserve"> Publishers</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Leiden, The Netherlands 2005</w:t>
      </w:r>
      <w:r w:rsidRPr="0047132F">
        <w:rPr>
          <w:rFonts w:eastAsia="Times New Roman"/>
          <w:noProof w:val="0"/>
          <w:color w:val="auto"/>
          <w:sz w:val="18"/>
          <w:szCs w:val="18"/>
          <w:lang w:eastAsia="en-US"/>
        </w:rPr>
        <w:t>; p.</w:t>
      </w:r>
      <w:r w:rsidRPr="00911143">
        <w:rPr>
          <w:rFonts w:eastAsia="Times New Roman"/>
          <w:noProof w:val="0"/>
          <w:color w:val="auto"/>
          <w:sz w:val="18"/>
          <w:szCs w:val="18"/>
          <w:lang w:eastAsia="en-US"/>
        </w:rPr>
        <w:t xml:space="preserve"> 649.</w:t>
      </w:r>
    </w:p>
    <w:p w14:paraId="09756E5F"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Mayo, A.L. Ambient well-bore mixing, aquifer cross-contamination, pumping stress, and water quality from long-screened wells: What is sampled and what is not? </w:t>
      </w:r>
      <w:proofErr w:type="spellStart"/>
      <w:r w:rsidRPr="00911143">
        <w:rPr>
          <w:rFonts w:eastAsia="Times New Roman"/>
          <w:i/>
          <w:iCs/>
          <w:noProof w:val="0"/>
          <w:color w:val="auto"/>
          <w:sz w:val="18"/>
          <w:szCs w:val="18"/>
          <w:lang w:eastAsia="en-US"/>
        </w:rPr>
        <w:t>Hydrogeol</w:t>
      </w:r>
      <w:proofErr w:type="spellEnd"/>
      <w:r w:rsidRPr="00911143">
        <w:rPr>
          <w:rFonts w:eastAsia="Times New Roman"/>
          <w:i/>
          <w:iCs/>
          <w:noProof w:val="0"/>
          <w:color w:val="auto"/>
          <w:sz w:val="18"/>
          <w:szCs w:val="18"/>
          <w:lang w:eastAsia="en-US"/>
        </w:rPr>
        <w:t>. J.</w:t>
      </w:r>
      <w:r w:rsidRPr="00911143">
        <w:rPr>
          <w:rFonts w:eastAsia="Times New Roman"/>
          <w:noProof w:val="0"/>
          <w:color w:val="auto"/>
          <w:sz w:val="18"/>
          <w:szCs w:val="18"/>
          <w:lang w:eastAsia="en-US"/>
        </w:rPr>
        <w:t xml:space="preserve"> </w:t>
      </w:r>
      <w:r w:rsidRPr="0047132F">
        <w:rPr>
          <w:rFonts w:eastAsia="Times New Roman"/>
          <w:b/>
          <w:bCs/>
          <w:noProof w:val="0"/>
          <w:color w:val="auto"/>
          <w:sz w:val="18"/>
          <w:szCs w:val="18"/>
          <w:lang w:eastAsia="en-US"/>
        </w:rPr>
        <w:t>2010</w:t>
      </w:r>
      <w:r w:rsidRPr="0047132F">
        <w:rPr>
          <w:rFonts w:eastAsia="Times New Roman"/>
          <w:bCs/>
          <w:noProof w:val="0"/>
          <w:color w:val="auto"/>
          <w:sz w:val="18"/>
          <w:szCs w:val="18"/>
          <w:lang w:eastAsia="en-US"/>
        </w:rPr>
        <w:t xml:space="preserve">, </w:t>
      </w:r>
      <w:r w:rsidRPr="0047132F">
        <w:rPr>
          <w:rFonts w:eastAsia="Times New Roman"/>
          <w:bCs/>
          <w:i/>
          <w:noProof w:val="0"/>
          <w:color w:val="auto"/>
          <w:sz w:val="18"/>
          <w:szCs w:val="18"/>
          <w:lang w:eastAsia="en-US"/>
        </w:rPr>
        <w:t>18</w:t>
      </w:r>
      <w:r w:rsidRPr="0047132F">
        <w:rPr>
          <w:rFonts w:eastAsia="Times New Roman"/>
          <w:bCs/>
          <w:noProof w:val="0"/>
          <w:color w:val="auto"/>
          <w:sz w:val="18"/>
          <w:szCs w:val="18"/>
          <w:lang w:eastAsia="en-US"/>
        </w:rPr>
        <w:t>, 823–837</w:t>
      </w:r>
      <w:r w:rsidRPr="00911143">
        <w:rPr>
          <w:rFonts w:eastAsia="Times New Roman"/>
          <w:noProof w:val="0"/>
          <w:color w:val="auto"/>
          <w:sz w:val="18"/>
          <w:szCs w:val="18"/>
          <w:lang w:eastAsia="en-US"/>
        </w:rPr>
        <w:t xml:space="preserve">, </w:t>
      </w:r>
      <w:r w:rsidRPr="0047132F">
        <w:rPr>
          <w:rFonts w:eastAsia="Times New Roman"/>
          <w:noProof w:val="0"/>
          <w:color w:val="auto"/>
          <w:sz w:val="18"/>
          <w:szCs w:val="18"/>
          <w:lang w:eastAsia="en-US"/>
        </w:rPr>
        <w:t>doi:</w:t>
      </w:r>
      <w:r w:rsidRPr="00911143">
        <w:rPr>
          <w:rFonts w:eastAsia="Times New Roman"/>
          <w:noProof w:val="0"/>
          <w:color w:val="auto"/>
          <w:sz w:val="18"/>
          <w:szCs w:val="18"/>
          <w:lang w:eastAsia="en-US"/>
        </w:rPr>
        <w:t>10.1007/s10040-009-0568-2.</w:t>
      </w:r>
    </w:p>
    <w:p w14:paraId="7917DC65"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Alvarado, J.A.C.; </w:t>
      </w:r>
      <w:proofErr w:type="spellStart"/>
      <w:r w:rsidRPr="00911143">
        <w:rPr>
          <w:rFonts w:eastAsia="Times New Roman"/>
          <w:noProof w:val="0"/>
          <w:color w:val="auto"/>
          <w:sz w:val="18"/>
          <w:szCs w:val="18"/>
          <w:lang w:eastAsia="en-US"/>
        </w:rPr>
        <w:t>Barbecot</w:t>
      </w:r>
      <w:proofErr w:type="spellEnd"/>
      <w:r w:rsidRPr="00911143">
        <w:rPr>
          <w:rFonts w:eastAsia="Times New Roman"/>
          <w:noProof w:val="0"/>
          <w:color w:val="auto"/>
          <w:sz w:val="18"/>
          <w:szCs w:val="18"/>
          <w:lang w:eastAsia="en-US"/>
        </w:rPr>
        <w:t xml:space="preserve">, F.; </w:t>
      </w:r>
      <w:proofErr w:type="spellStart"/>
      <w:r w:rsidRPr="00911143">
        <w:rPr>
          <w:rFonts w:eastAsia="Times New Roman"/>
          <w:noProof w:val="0"/>
          <w:color w:val="auto"/>
          <w:sz w:val="18"/>
          <w:szCs w:val="18"/>
          <w:lang w:eastAsia="en-US"/>
        </w:rPr>
        <w:t>Purtschert</w:t>
      </w:r>
      <w:proofErr w:type="spellEnd"/>
      <w:r w:rsidRPr="00911143">
        <w:rPr>
          <w:rFonts w:eastAsia="Times New Roman"/>
          <w:noProof w:val="0"/>
          <w:color w:val="auto"/>
          <w:sz w:val="18"/>
          <w:szCs w:val="18"/>
          <w:lang w:eastAsia="en-US"/>
        </w:rPr>
        <w:t>, R. Ambient vertical flow in long-screen wells</w:t>
      </w:r>
      <w:r w:rsidRPr="0047132F">
        <w:rPr>
          <w:rFonts w:eastAsia="Times New Roman"/>
          <w:noProof w:val="0"/>
          <w:color w:val="auto"/>
          <w:sz w:val="18"/>
          <w:szCs w:val="18"/>
          <w:lang w:eastAsia="en-US"/>
        </w:rPr>
        <w:t>: A</w:t>
      </w:r>
      <w:r w:rsidRPr="00911143">
        <w:rPr>
          <w:rFonts w:eastAsia="Times New Roman"/>
          <w:noProof w:val="0"/>
          <w:color w:val="auto"/>
          <w:sz w:val="18"/>
          <w:szCs w:val="18"/>
          <w:lang w:eastAsia="en-US"/>
        </w:rPr>
        <w:t xml:space="preserve"> case study in the Fontainebleau Sands Aquifer (France). </w:t>
      </w:r>
      <w:proofErr w:type="spellStart"/>
      <w:r w:rsidRPr="00911143">
        <w:rPr>
          <w:rFonts w:eastAsia="Times New Roman"/>
          <w:i/>
          <w:iCs/>
          <w:noProof w:val="0"/>
          <w:color w:val="auto"/>
          <w:sz w:val="18"/>
          <w:szCs w:val="18"/>
          <w:lang w:eastAsia="en-US"/>
        </w:rPr>
        <w:t>Hydrogeol</w:t>
      </w:r>
      <w:proofErr w:type="spellEnd"/>
      <w:r w:rsidRPr="00911143">
        <w:rPr>
          <w:rFonts w:eastAsia="Times New Roman"/>
          <w:i/>
          <w:iCs/>
          <w:noProof w:val="0"/>
          <w:color w:val="auto"/>
          <w:sz w:val="18"/>
          <w:szCs w:val="18"/>
          <w:lang w:eastAsia="en-US"/>
        </w:rPr>
        <w:t>. J.</w:t>
      </w:r>
      <w:r w:rsidRPr="00911143">
        <w:rPr>
          <w:rFonts w:eastAsia="Times New Roman"/>
          <w:noProof w:val="0"/>
          <w:color w:val="auto"/>
          <w:sz w:val="18"/>
          <w:szCs w:val="18"/>
          <w:lang w:eastAsia="en-US"/>
        </w:rPr>
        <w:t xml:space="preserve"> </w:t>
      </w:r>
      <w:r w:rsidRPr="0047132F">
        <w:rPr>
          <w:rFonts w:eastAsia="Times New Roman"/>
          <w:b/>
          <w:bCs/>
          <w:noProof w:val="0"/>
          <w:color w:val="auto"/>
          <w:sz w:val="18"/>
          <w:szCs w:val="18"/>
          <w:lang w:eastAsia="en-US"/>
        </w:rPr>
        <w:t>2009</w:t>
      </w:r>
      <w:r w:rsidRPr="0047132F">
        <w:rPr>
          <w:rFonts w:eastAsia="Times New Roman"/>
          <w:bCs/>
          <w:noProof w:val="0"/>
          <w:color w:val="auto"/>
          <w:sz w:val="18"/>
          <w:szCs w:val="18"/>
          <w:lang w:eastAsia="en-US"/>
        </w:rPr>
        <w:t xml:space="preserve">, </w:t>
      </w:r>
      <w:r w:rsidRPr="0047132F">
        <w:rPr>
          <w:rFonts w:eastAsia="Times New Roman"/>
          <w:bCs/>
          <w:i/>
          <w:noProof w:val="0"/>
          <w:color w:val="auto"/>
          <w:sz w:val="18"/>
          <w:szCs w:val="18"/>
          <w:lang w:eastAsia="en-US"/>
        </w:rPr>
        <w:t>17</w:t>
      </w:r>
      <w:r w:rsidRPr="0047132F">
        <w:rPr>
          <w:rFonts w:eastAsia="Times New Roman"/>
          <w:bCs/>
          <w:noProof w:val="0"/>
          <w:color w:val="auto"/>
          <w:sz w:val="18"/>
          <w:szCs w:val="18"/>
          <w:lang w:eastAsia="en-US"/>
        </w:rPr>
        <w:t>, 425–431</w:t>
      </w:r>
      <w:r w:rsidRPr="00911143">
        <w:rPr>
          <w:rFonts w:eastAsia="Times New Roman"/>
          <w:noProof w:val="0"/>
          <w:color w:val="auto"/>
          <w:sz w:val="18"/>
          <w:szCs w:val="18"/>
          <w:lang w:eastAsia="en-US"/>
        </w:rPr>
        <w:t xml:space="preserve">, </w:t>
      </w:r>
      <w:r w:rsidRPr="0047132F">
        <w:rPr>
          <w:rFonts w:eastAsia="Times New Roman"/>
          <w:noProof w:val="0"/>
          <w:color w:val="auto"/>
          <w:sz w:val="18"/>
          <w:szCs w:val="18"/>
          <w:lang w:eastAsia="en-US"/>
        </w:rPr>
        <w:t>doi:</w:t>
      </w:r>
      <w:r w:rsidRPr="00911143">
        <w:rPr>
          <w:rFonts w:eastAsia="Times New Roman"/>
          <w:noProof w:val="0"/>
          <w:color w:val="auto"/>
          <w:sz w:val="18"/>
          <w:szCs w:val="18"/>
          <w:lang w:eastAsia="en-US"/>
        </w:rPr>
        <w:t>10.1007/s10040-008-0383-1.</w:t>
      </w:r>
    </w:p>
    <w:p w14:paraId="236EFD23"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Poulsen, D.L.</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Cook, P.G.</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Simmons, C.T.</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Solomon, D.K.</w:t>
      </w:r>
      <w:r w:rsidRPr="0047132F">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w:t>
      </w:r>
      <w:proofErr w:type="spellStart"/>
      <w:r w:rsidRPr="00911143">
        <w:rPr>
          <w:rFonts w:eastAsia="Times New Roman"/>
          <w:noProof w:val="0"/>
          <w:color w:val="auto"/>
          <w:sz w:val="18"/>
          <w:szCs w:val="18"/>
          <w:lang w:eastAsia="en-US"/>
        </w:rPr>
        <w:t>Dogramaci</w:t>
      </w:r>
      <w:proofErr w:type="spellEnd"/>
      <w:r w:rsidRPr="00911143">
        <w:rPr>
          <w:rFonts w:eastAsia="Times New Roman"/>
          <w:noProof w:val="0"/>
          <w:color w:val="auto"/>
          <w:sz w:val="18"/>
          <w:szCs w:val="18"/>
          <w:lang w:eastAsia="en-US"/>
        </w:rPr>
        <w:t xml:space="preserve">, S. Depth–Resolved Groundwater Chemistry by </w:t>
      </w:r>
      <w:proofErr w:type="spellStart"/>
      <w:r w:rsidRPr="00911143">
        <w:rPr>
          <w:rFonts w:eastAsia="Times New Roman"/>
          <w:noProof w:val="0"/>
          <w:color w:val="auto"/>
          <w:sz w:val="18"/>
          <w:szCs w:val="18"/>
          <w:lang w:eastAsia="en-US"/>
        </w:rPr>
        <w:t>Longi-tudinal</w:t>
      </w:r>
      <w:proofErr w:type="spellEnd"/>
      <w:r w:rsidRPr="00911143">
        <w:rPr>
          <w:rFonts w:eastAsia="Times New Roman"/>
          <w:noProof w:val="0"/>
          <w:color w:val="auto"/>
          <w:sz w:val="18"/>
          <w:szCs w:val="18"/>
          <w:lang w:eastAsia="en-US"/>
        </w:rPr>
        <w:t xml:space="preserve"> Sampling of Ambient and Pumped Flows Within Long–Screened and Open Borehole Wells. </w:t>
      </w:r>
      <w:r w:rsidRPr="00911143">
        <w:rPr>
          <w:rFonts w:eastAsia="Times New Roman"/>
          <w:i/>
          <w:iCs/>
          <w:noProof w:val="0"/>
          <w:color w:val="auto"/>
          <w:sz w:val="18"/>
          <w:szCs w:val="18"/>
          <w:lang w:eastAsia="en-US"/>
        </w:rPr>
        <w:t>Water Res</w:t>
      </w:r>
      <w:r w:rsidRPr="00994433">
        <w:rPr>
          <w:rFonts w:eastAsia="Times New Roman"/>
          <w:i/>
          <w:iCs/>
          <w:noProof w:val="0"/>
          <w:color w:val="auto"/>
          <w:sz w:val="18"/>
          <w:szCs w:val="18"/>
          <w:lang w:eastAsia="en-US"/>
        </w:rPr>
        <w:t>.</w:t>
      </w:r>
      <w:r w:rsidRPr="00911143">
        <w:rPr>
          <w:rFonts w:eastAsia="Times New Roman"/>
          <w:i/>
          <w:iCs/>
          <w:noProof w:val="0"/>
          <w:color w:val="auto"/>
          <w:sz w:val="18"/>
          <w:szCs w:val="18"/>
          <w:lang w:eastAsia="en-US"/>
        </w:rPr>
        <w:t xml:space="preserve"> Res</w:t>
      </w:r>
      <w:r w:rsidRPr="00994433">
        <w:rPr>
          <w:rFonts w:eastAsia="Times New Roman"/>
          <w:i/>
          <w:iCs/>
          <w:noProof w:val="0"/>
          <w:color w:val="auto"/>
          <w:sz w:val="18"/>
          <w:szCs w:val="18"/>
          <w:lang w:eastAsia="en-US"/>
        </w:rPr>
        <w:t>.</w:t>
      </w:r>
      <w:r w:rsidRPr="00911143">
        <w:rPr>
          <w:rFonts w:eastAsia="Times New Roman"/>
          <w:noProof w:val="0"/>
          <w:color w:val="auto"/>
          <w:sz w:val="18"/>
          <w:szCs w:val="18"/>
          <w:lang w:eastAsia="en-US"/>
        </w:rPr>
        <w:t xml:space="preserve"> </w:t>
      </w:r>
      <w:r>
        <w:rPr>
          <w:rFonts w:eastAsia="Times New Roman"/>
          <w:b/>
          <w:noProof w:val="0"/>
          <w:color w:val="auto"/>
          <w:sz w:val="18"/>
          <w:szCs w:val="18"/>
          <w:lang w:eastAsia="en-US"/>
        </w:rPr>
        <w:t>2019</w:t>
      </w:r>
      <w:r>
        <w:rPr>
          <w:rFonts w:eastAsia="Times New Roman"/>
          <w:noProof w:val="0"/>
          <w:color w:val="auto"/>
          <w:sz w:val="18"/>
          <w:szCs w:val="18"/>
          <w:lang w:eastAsia="en-US"/>
        </w:rPr>
        <w:t xml:space="preserve">, </w:t>
      </w:r>
      <w:r>
        <w:rPr>
          <w:rFonts w:eastAsia="Times New Roman"/>
          <w:i/>
          <w:noProof w:val="0"/>
          <w:color w:val="auto"/>
          <w:sz w:val="18"/>
          <w:szCs w:val="18"/>
          <w:lang w:eastAsia="en-US"/>
        </w:rPr>
        <w:t>55</w:t>
      </w:r>
      <w:r>
        <w:rPr>
          <w:rFonts w:eastAsia="Times New Roman"/>
          <w:noProof w:val="0"/>
          <w:color w:val="auto"/>
          <w:sz w:val="18"/>
          <w:szCs w:val="18"/>
          <w:lang w:eastAsia="en-US"/>
        </w:rPr>
        <w:t>, 9417–9435</w:t>
      </w:r>
      <w:r w:rsidRPr="00911143">
        <w:rPr>
          <w:rFonts w:eastAsia="Times New Roman"/>
          <w:noProof w:val="0"/>
          <w:color w:val="auto"/>
          <w:sz w:val="18"/>
          <w:szCs w:val="18"/>
          <w:lang w:eastAsia="en-US"/>
        </w:rPr>
        <w:t>.</w:t>
      </w:r>
    </w:p>
    <w:p w14:paraId="73F1F7A9"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Tiedeman, C.R.</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Hsieh, P.A. Assessing an Open–Well Aquifer Test in Fractured </w:t>
      </w:r>
      <w:proofErr w:type="spellStart"/>
      <w:r w:rsidRPr="00911143">
        <w:rPr>
          <w:rFonts w:eastAsia="Times New Roman"/>
          <w:noProof w:val="0"/>
          <w:color w:val="auto"/>
          <w:sz w:val="18"/>
          <w:szCs w:val="18"/>
          <w:lang w:eastAsia="en-US"/>
        </w:rPr>
        <w:t>Crystaline</w:t>
      </w:r>
      <w:proofErr w:type="spellEnd"/>
      <w:r w:rsidRPr="00911143">
        <w:rPr>
          <w:rFonts w:eastAsia="Times New Roman"/>
          <w:noProof w:val="0"/>
          <w:color w:val="auto"/>
          <w:sz w:val="18"/>
          <w:szCs w:val="18"/>
          <w:lang w:eastAsia="en-US"/>
        </w:rPr>
        <w:t xml:space="preserve"> Rock. </w:t>
      </w:r>
      <w:proofErr w:type="spellStart"/>
      <w:r w:rsidRPr="00911143">
        <w:rPr>
          <w:rFonts w:eastAsia="Times New Roman"/>
          <w:noProof w:val="0"/>
          <w:color w:val="auto"/>
          <w:sz w:val="18"/>
          <w:szCs w:val="18"/>
          <w:lang w:eastAsia="en-US"/>
        </w:rPr>
        <w:t>GroundWater</w:t>
      </w:r>
      <w:proofErr w:type="spellEnd"/>
      <w:r w:rsidRPr="00911143">
        <w:rPr>
          <w:rFonts w:eastAsia="Times New Roman"/>
          <w:noProof w:val="0"/>
          <w:color w:val="auto"/>
          <w:sz w:val="18"/>
          <w:szCs w:val="18"/>
          <w:lang w:eastAsia="en-US"/>
        </w:rPr>
        <w:t xml:space="preserve"> </w:t>
      </w:r>
      <w:r>
        <w:rPr>
          <w:rFonts w:eastAsia="Times New Roman"/>
          <w:b/>
          <w:noProof w:val="0"/>
          <w:color w:val="auto"/>
          <w:sz w:val="18"/>
          <w:szCs w:val="18"/>
          <w:lang w:eastAsia="en-US"/>
        </w:rPr>
        <w:t>2001</w:t>
      </w:r>
      <w:r>
        <w:rPr>
          <w:rFonts w:eastAsia="Times New Roman"/>
          <w:noProof w:val="0"/>
          <w:color w:val="auto"/>
          <w:sz w:val="18"/>
          <w:szCs w:val="18"/>
          <w:lang w:eastAsia="en-US"/>
        </w:rPr>
        <w:t xml:space="preserve">, </w:t>
      </w:r>
      <w:r>
        <w:rPr>
          <w:rFonts w:eastAsia="Times New Roman"/>
          <w:i/>
          <w:noProof w:val="0"/>
          <w:color w:val="auto"/>
          <w:sz w:val="18"/>
          <w:szCs w:val="18"/>
          <w:lang w:eastAsia="en-US"/>
        </w:rPr>
        <w:t>39</w:t>
      </w:r>
      <w:r>
        <w:rPr>
          <w:rFonts w:eastAsia="Times New Roman"/>
          <w:noProof w:val="0"/>
          <w:color w:val="auto"/>
          <w:sz w:val="18"/>
          <w:szCs w:val="18"/>
          <w:lang w:eastAsia="en-US"/>
        </w:rPr>
        <w:t>, 68–78</w:t>
      </w:r>
      <w:r w:rsidRPr="00911143">
        <w:rPr>
          <w:rFonts w:eastAsia="Times New Roman"/>
          <w:noProof w:val="0"/>
          <w:color w:val="auto"/>
          <w:sz w:val="18"/>
          <w:szCs w:val="18"/>
          <w:lang w:eastAsia="en-US"/>
        </w:rPr>
        <w:t>.</w:t>
      </w:r>
    </w:p>
    <w:p w14:paraId="24B70755" w14:textId="532CEF05"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Clark, T.H. Montreal Area. Department of Natural Resources, General Direction of Mines, Geological Exploration Service</w:t>
      </w:r>
      <w:r>
        <w:rPr>
          <w:rFonts w:eastAsia="Times New Roman"/>
          <w:noProof w:val="0"/>
          <w:color w:val="auto"/>
          <w:sz w:val="18"/>
          <w:szCs w:val="18"/>
          <w:lang w:eastAsia="en-US"/>
        </w:rPr>
        <w:t>.</w:t>
      </w:r>
      <w:r w:rsidR="007D793D">
        <w:rPr>
          <w:rFonts w:eastAsia="Times New Roman"/>
          <w:noProof w:val="0"/>
          <w:color w:val="auto"/>
          <w:sz w:val="18"/>
          <w:szCs w:val="18"/>
          <w:lang w:eastAsia="en-US"/>
        </w:rPr>
        <w:t xml:space="preserve"> Available on: </w:t>
      </w:r>
      <w:r w:rsidR="007D793D" w:rsidRPr="00BF15A9">
        <w:rPr>
          <w:rFonts w:eastAsia="Times New Roman"/>
          <w:noProof w:val="0"/>
          <w:color w:val="auto"/>
          <w:sz w:val="18"/>
          <w:szCs w:val="18"/>
          <w:lang w:eastAsia="en-US"/>
        </w:rPr>
        <w:t>http://gq.mines.gouv.qc.ca/documents/EXAMINE/RG152/RG152.pdf</w:t>
      </w:r>
      <w:r w:rsidR="007D793D">
        <w:rPr>
          <w:rFonts w:eastAsia="Times New Roman"/>
          <w:noProof w:val="0"/>
          <w:color w:val="auto"/>
          <w:sz w:val="18"/>
          <w:szCs w:val="18"/>
          <w:lang w:eastAsia="en-US"/>
        </w:rPr>
        <w:t xml:space="preserve"> (accessed on: </w:t>
      </w:r>
      <w:r w:rsidR="00AF5E63">
        <w:rPr>
          <w:rFonts w:eastAsia="Times New Roman"/>
          <w:noProof w:val="0"/>
          <w:color w:val="auto"/>
          <w:sz w:val="18"/>
          <w:szCs w:val="18"/>
          <w:lang w:eastAsia="en-US"/>
        </w:rPr>
        <w:t>14/09/2020</w:t>
      </w:r>
      <w:r w:rsidR="007D793D">
        <w:rPr>
          <w:rFonts w:eastAsia="Times New Roman"/>
          <w:noProof w:val="0"/>
          <w:color w:val="auto"/>
          <w:sz w:val="18"/>
          <w:szCs w:val="18"/>
          <w:lang w:eastAsia="en-US"/>
        </w:rPr>
        <w:t>)</w:t>
      </w:r>
      <w:r>
        <w:rPr>
          <w:rFonts w:eastAsia="Times New Roman"/>
          <w:noProof w:val="0"/>
          <w:color w:val="auto"/>
          <w:sz w:val="18"/>
          <w:szCs w:val="18"/>
          <w:lang w:eastAsia="en-US"/>
        </w:rPr>
        <w:t>.</w:t>
      </w:r>
    </w:p>
    <w:p w14:paraId="1CA101F3"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Tremblay, A.; </w:t>
      </w:r>
      <w:proofErr w:type="spellStart"/>
      <w:r w:rsidRPr="00911143">
        <w:rPr>
          <w:rFonts w:eastAsia="Times New Roman"/>
          <w:noProof w:val="0"/>
          <w:color w:val="auto"/>
          <w:sz w:val="18"/>
          <w:szCs w:val="18"/>
          <w:lang w:eastAsia="en-US"/>
        </w:rPr>
        <w:t>Pinet</w:t>
      </w:r>
      <w:proofErr w:type="spellEnd"/>
      <w:r w:rsidRPr="00911143">
        <w:rPr>
          <w:rFonts w:eastAsia="Times New Roman"/>
          <w:noProof w:val="0"/>
          <w:color w:val="auto"/>
          <w:sz w:val="18"/>
          <w:szCs w:val="18"/>
          <w:lang w:eastAsia="en-US"/>
        </w:rPr>
        <w:t xml:space="preserve">, N. Distribution and characteristics of </w:t>
      </w:r>
      <w:proofErr w:type="spellStart"/>
      <w:r w:rsidRPr="00911143">
        <w:rPr>
          <w:rFonts w:eastAsia="Times New Roman"/>
          <w:noProof w:val="0"/>
          <w:color w:val="auto"/>
          <w:sz w:val="18"/>
          <w:szCs w:val="18"/>
          <w:lang w:eastAsia="en-US"/>
        </w:rPr>
        <w:t>Taconian</w:t>
      </w:r>
      <w:proofErr w:type="spellEnd"/>
      <w:r w:rsidRPr="00911143">
        <w:rPr>
          <w:rFonts w:eastAsia="Times New Roman"/>
          <w:noProof w:val="0"/>
          <w:color w:val="auto"/>
          <w:sz w:val="18"/>
          <w:szCs w:val="18"/>
          <w:lang w:eastAsia="en-US"/>
        </w:rPr>
        <w:t xml:space="preserve"> and Acadian deformation, southern Québec Appalachians. </w:t>
      </w:r>
      <w:r w:rsidRPr="00911143">
        <w:rPr>
          <w:rFonts w:eastAsia="Times New Roman"/>
          <w:i/>
          <w:iCs/>
          <w:noProof w:val="0"/>
          <w:color w:val="auto"/>
          <w:sz w:val="18"/>
          <w:szCs w:val="18"/>
          <w:lang w:eastAsia="en-US"/>
        </w:rPr>
        <w:t>GSA Bull.</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1994</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106</w:t>
      </w:r>
      <w:r>
        <w:rPr>
          <w:rFonts w:eastAsia="Times New Roman"/>
          <w:bCs/>
          <w:noProof w:val="0"/>
          <w:color w:val="auto"/>
          <w:sz w:val="18"/>
          <w:szCs w:val="18"/>
          <w:lang w:eastAsia="en-US"/>
        </w:rPr>
        <w:t>, 1172–1181</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10.1130/0016-76061062.3.co;2.</w:t>
      </w:r>
    </w:p>
    <w:p w14:paraId="67D49859" w14:textId="77777777" w:rsidR="009D0F5F" w:rsidRPr="00705634"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val="fr-FR" w:eastAsia="en-US"/>
        </w:rPr>
      </w:pPr>
      <w:proofErr w:type="spellStart"/>
      <w:r w:rsidRPr="00705634">
        <w:rPr>
          <w:rFonts w:eastAsia="Times New Roman"/>
          <w:noProof w:val="0"/>
          <w:color w:val="auto"/>
          <w:sz w:val="18"/>
          <w:szCs w:val="18"/>
          <w:lang w:val="fr-FR" w:eastAsia="en-US"/>
        </w:rPr>
        <w:t>Globensky</w:t>
      </w:r>
      <w:proofErr w:type="spellEnd"/>
      <w:r w:rsidRPr="00705634">
        <w:rPr>
          <w:rFonts w:eastAsia="Times New Roman"/>
          <w:noProof w:val="0"/>
          <w:color w:val="auto"/>
          <w:sz w:val="18"/>
          <w:szCs w:val="18"/>
          <w:lang w:val="fr-FR" w:eastAsia="en-US"/>
        </w:rPr>
        <w:t xml:space="preserve">, Y. </w:t>
      </w:r>
      <w:r w:rsidRPr="00705634">
        <w:rPr>
          <w:rFonts w:eastAsia="Times New Roman"/>
          <w:i/>
          <w:iCs/>
          <w:noProof w:val="0"/>
          <w:color w:val="auto"/>
          <w:sz w:val="18"/>
          <w:szCs w:val="18"/>
          <w:lang w:val="fr-FR" w:eastAsia="en-US"/>
        </w:rPr>
        <w:t>Géologie des Basses–Terres du Saint–</w:t>
      </w:r>
      <w:proofErr w:type="gramStart"/>
      <w:r w:rsidRPr="00705634">
        <w:rPr>
          <w:rFonts w:eastAsia="Times New Roman"/>
          <w:i/>
          <w:iCs/>
          <w:noProof w:val="0"/>
          <w:color w:val="auto"/>
          <w:sz w:val="18"/>
          <w:szCs w:val="18"/>
          <w:lang w:val="fr-FR" w:eastAsia="en-US"/>
        </w:rPr>
        <w:t>Laurent</w:t>
      </w:r>
      <w:r w:rsidRPr="00705634">
        <w:rPr>
          <w:rFonts w:eastAsia="Times New Roman"/>
          <w:noProof w:val="0"/>
          <w:color w:val="auto"/>
          <w:sz w:val="18"/>
          <w:szCs w:val="18"/>
          <w:lang w:val="fr-FR" w:eastAsia="en-US"/>
        </w:rPr>
        <w:t>;</w:t>
      </w:r>
      <w:proofErr w:type="gramEnd"/>
      <w:r w:rsidRPr="00705634">
        <w:rPr>
          <w:rFonts w:eastAsia="Times New Roman"/>
          <w:noProof w:val="0"/>
          <w:color w:val="auto"/>
          <w:sz w:val="18"/>
          <w:szCs w:val="18"/>
          <w:lang w:val="fr-FR" w:eastAsia="en-US"/>
        </w:rPr>
        <w:t xml:space="preserve"> Rapport MM85–02, Direction Générale de l’Exploitation Géologique et minérale: Québec, Canada, 1987; p. 70.</w:t>
      </w:r>
    </w:p>
    <w:p w14:paraId="61E57CB3"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Parent, M.; </w:t>
      </w:r>
      <w:proofErr w:type="spellStart"/>
      <w:r w:rsidRPr="00911143">
        <w:rPr>
          <w:rFonts w:eastAsia="Times New Roman"/>
          <w:noProof w:val="0"/>
          <w:color w:val="auto"/>
          <w:sz w:val="18"/>
          <w:szCs w:val="18"/>
          <w:lang w:eastAsia="en-US"/>
        </w:rPr>
        <w:t>Occhietti</w:t>
      </w:r>
      <w:proofErr w:type="spellEnd"/>
      <w:r w:rsidRPr="00911143">
        <w:rPr>
          <w:rFonts w:eastAsia="Times New Roman"/>
          <w:noProof w:val="0"/>
          <w:color w:val="auto"/>
          <w:sz w:val="18"/>
          <w:szCs w:val="18"/>
          <w:lang w:eastAsia="en-US"/>
        </w:rPr>
        <w:t xml:space="preserve">, S. Late </w:t>
      </w:r>
      <w:proofErr w:type="spellStart"/>
      <w:r w:rsidRPr="00911143">
        <w:rPr>
          <w:rFonts w:eastAsia="Times New Roman"/>
          <w:noProof w:val="0"/>
          <w:color w:val="auto"/>
          <w:sz w:val="18"/>
          <w:szCs w:val="18"/>
          <w:lang w:eastAsia="en-US"/>
        </w:rPr>
        <w:t>Wisconsinan</w:t>
      </w:r>
      <w:proofErr w:type="spellEnd"/>
      <w:r w:rsidRPr="00911143">
        <w:rPr>
          <w:rFonts w:eastAsia="Times New Roman"/>
          <w:noProof w:val="0"/>
          <w:color w:val="auto"/>
          <w:sz w:val="18"/>
          <w:szCs w:val="18"/>
          <w:lang w:eastAsia="en-US"/>
        </w:rPr>
        <w:t xml:space="preserve"> Deglaciation and Champlain Sea Invasion in the St. Lawrence Valley, Québec. </w:t>
      </w:r>
      <w:proofErr w:type="spellStart"/>
      <w:r w:rsidRPr="00D30F53">
        <w:rPr>
          <w:rFonts w:eastAsia="Times New Roman"/>
          <w:i/>
          <w:iCs/>
          <w:noProof w:val="0"/>
          <w:color w:val="auto"/>
          <w:sz w:val="18"/>
          <w:szCs w:val="18"/>
          <w:lang w:eastAsia="en-US"/>
        </w:rPr>
        <w:t>Géogr</w:t>
      </w:r>
      <w:proofErr w:type="spellEnd"/>
      <w:r w:rsidRPr="00D30F53">
        <w:rPr>
          <w:rFonts w:eastAsia="Times New Roman"/>
          <w:i/>
          <w:iCs/>
          <w:noProof w:val="0"/>
          <w:color w:val="auto"/>
          <w:sz w:val="18"/>
          <w:szCs w:val="18"/>
          <w:lang w:eastAsia="en-US"/>
        </w:rPr>
        <w:t>. Phys. Quatern.</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1988</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42</w:t>
      </w:r>
      <w:r>
        <w:rPr>
          <w:rFonts w:eastAsia="Times New Roman"/>
          <w:bCs/>
          <w:noProof w:val="0"/>
          <w:color w:val="auto"/>
          <w:sz w:val="18"/>
          <w:szCs w:val="18"/>
          <w:lang w:eastAsia="en-US"/>
        </w:rPr>
        <w:t>, 215–246</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10.7202/032734ar.</w:t>
      </w:r>
    </w:p>
    <w:p w14:paraId="3BEDCE39"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Lamothe, M. A New Framework for the Pleistocene Stratigraphy of the Central St. Lawrence Lowland, Southern Québec. </w:t>
      </w:r>
      <w:proofErr w:type="spellStart"/>
      <w:r w:rsidRPr="00D30F53">
        <w:rPr>
          <w:rFonts w:eastAsia="Times New Roman"/>
          <w:i/>
          <w:iCs/>
          <w:noProof w:val="0"/>
          <w:color w:val="auto"/>
          <w:sz w:val="18"/>
          <w:szCs w:val="18"/>
          <w:lang w:eastAsia="en-US"/>
        </w:rPr>
        <w:t>Géogr</w:t>
      </w:r>
      <w:proofErr w:type="spellEnd"/>
      <w:r w:rsidRPr="00D30F53">
        <w:rPr>
          <w:rFonts w:eastAsia="Times New Roman"/>
          <w:i/>
          <w:iCs/>
          <w:noProof w:val="0"/>
          <w:color w:val="auto"/>
          <w:sz w:val="18"/>
          <w:szCs w:val="18"/>
          <w:lang w:eastAsia="en-US"/>
        </w:rPr>
        <w:t>. Phys. Quatern.</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1989</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43</w:t>
      </w:r>
      <w:r>
        <w:rPr>
          <w:rFonts w:eastAsia="Times New Roman"/>
          <w:bCs/>
          <w:noProof w:val="0"/>
          <w:color w:val="auto"/>
          <w:sz w:val="18"/>
          <w:szCs w:val="18"/>
          <w:lang w:eastAsia="en-US"/>
        </w:rPr>
        <w:t>, 119–129</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10.7202/032764ar.</w:t>
      </w:r>
    </w:p>
    <w:p w14:paraId="2D0D2977"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Nadeau, S.; Rosa, E.; Cloutier, V. Stratigraphic sequence map for groundwater assessment and protection of unconsolidated aquifers: A case example in the Abitibi-</w:t>
      </w:r>
      <w:proofErr w:type="spellStart"/>
      <w:r w:rsidRPr="00911143">
        <w:rPr>
          <w:rFonts w:eastAsia="Times New Roman"/>
          <w:noProof w:val="0"/>
          <w:color w:val="auto"/>
          <w:sz w:val="18"/>
          <w:szCs w:val="18"/>
          <w:lang w:eastAsia="en-US"/>
        </w:rPr>
        <w:t>Témiscamingue</w:t>
      </w:r>
      <w:proofErr w:type="spellEnd"/>
      <w:r w:rsidRPr="00911143">
        <w:rPr>
          <w:rFonts w:eastAsia="Times New Roman"/>
          <w:noProof w:val="0"/>
          <w:color w:val="auto"/>
          <w:sz w:val="18"/>
          <w:szCs w:val="18"/>
          <w:lang w:eastAsia="en-US"/>
        </w:rPr>
        <w:t xml:space="preserve"> region, Québec, Canada. </w:t>
      </w:r>
      <w:r w:rsidRPr="00911143">
        <w:rPr>
          <w:rFonts w:eastAsia="Times New Roman"/>
          <w:i/>
          <w:iCs/>
          <w:noProof w:val="0"/>
          <w:color w:val="auto"/>
          <w:sz w:val="18"/>
          <w:szCs w:val="18"/>
          <w:lang w:eastAsia="en-US"/>
        </w:rPr>
        <w:t xml:space="preserve">Can. Water </w:t>
      </w:r>
      <w:proofErr w:type="spellStart"/>
      <w:r w:rsidRPr="00911143">
        <w:rPr>
          <w:rFonts w:eastAsia="Times New Roman"/>
          <w:i/>
          <w:iCs/>
          <w:noProof w:val="0"/>
          <w:color w:val="auto"/>
          <w:sz w:val="18"/>
          <w:szCs w:val="18"/>
          <w:lang w:eastAsia="en-US"/>
        </w:rPr>
        <w:t>Resour</w:t>
      </w:r>
      <w:proofErr w:type="spellEnd"/>
      <w:r w:rsidRPr="00911143">
        <w:rPr>
          <w:rFonts w:eastAsia="Times New Roman"/>
          <w:i/>
          <w:iCs/>
          <w:noProof w:val="0"/>
          <w:color w:val="auto"/>
          <w:sz w:val="18"/>
          <w:szCs w:val="18"/>
          <w:lang w:eastAsia="en-US"/>
        </w:rPr>
        <w:t xml:space="preserve">. J. Rev. Can. </w:t>
      </w:r>
      <w:r>
        <w:rPr>
          <w:rFonts w:eastAsia="Times New Roman"/>
          <w:i/>
          <w:iCs/>
          <w:noProof w:val="0"/>
          <w:color w:val="auto"/>
          <w:sz w:val="18"/>
          <w:szCs w:val="18"/>
          <w:lang w:eastAsia="en-US"/>
        </w:rPr>
        <w:t>R</w:t>
      </w:r>
      <w:r w:rsidRPr="00911143">
        <w:rPr>
          <w:rFonts w:eastAsia="Times New Roman"/>
          <w:i/>
          <w:iCs/>
          <w:noProof w:val="0"/>
          <w:color w:val="auto"/>
          <w:sz w:val="18"/>
          <w:szCs w:val="18"/>
          <w:lang w:eastAsia="en-US"/>
        </w:rPr>
        <w:t>es</w:t>
      </w:r>
      <w:r>
        <w:rPr>
          <w:rFonts w:eastAsia="Times New Roman"/>
          <w:i/>
          <w:iCs/>
          <w:noProof w:val="0"/>
          <w:color w:val="auto"/>
          <w:sz w:val="18"/>
          <w:szCs w:val="18"/>
          <w:lang w:eastAsia="en-US"/>
        </w:rPr>
        <w:t>.</w:t>
      </w:r>
      <w:r w:rsidRPr="00911143">
        <w:rPr>
          <w:rFonts w:eastAsia="Times New Roman"/>
          <w:i/>
          <w:iCs/>
          <w:noProof w:val="0"/>
          <w:color w:val="auto"/>
          <w:sz w:val="18"/>
          <w:szCs w:val="18"/>
          <w:lang w:eastAsia="en-US"/>
        </w:rPr>
        <w:t xml:space="preserve"> </w:t>
      </w:r>
      <w:proofErr w:type="spellStart"/>
      <w:r>
        <w:rPr>
          <w:rFonts w:eastAsia="Times New Roman"/>
          <w:i/>
          <w:iCs/>
          <w:noProof w:val="0"/>
          <w:color w:val="auto"/>
          <w:sz w:val="18"/>
          <w:szCs w:val="18"/>
          <w:lang w:eastAsia="en-US"/>
        </w:rPr>
        <w:t>H</w:t>
      </w:r>
      <w:r w:rsidRPr="00911143">
        <w:rPr>
          <w:rFonts w:eastAsia="Times New Roman"/>
          <w:i/>
          <w:iCs/>
          <w:noProof w:val="0"/>
          <w:color w:val="auto"/>
          <w:sz w:val="18"/>
          <w:szCs w:val="18"/>
          <w:lang w:eastAsia="en-US"/>
        </w:rPr>
        <w:t>ydriq</w:t>
      </w:r>
      <w:proofErr w:type="spellEnd"/>
      <w:r>
        <w:rPr>
          <w:rFonts w:eastAsia="Times New Roman"/>
          <w:i/>
          <w:iCs/>
          <w:noProof w:val="0"/>
          <w:color w:val="auto"/>
          <w:sz w:val="18"/>
          <w:szCs w:val="18"/>
          <w:lang w:eastAsia="en-US"/>
        </w:rPr>
        <w:t>.</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2017</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43</w:t>
      </w:r>
      <w:r>
        <w:rPr>
          <w:rFonts w:eastAsia="Times New Roman"/>
          <w:bCs/>
          <w:noProof w:val="0"/>
          <w:color w:val="auto"/>
          <w:sz w:val="18"/>
          <w:szCs w:val="18"/>
          <w:lang w:eastAsia="en-US"/>
        </w:rPr>
        <w:t>, 113–135</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10.1080/07011784.2017.1354722.</w:t>
      </w:r>
    </w:p>
    <w:p w14:paraId="6CFC7C04"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Gillon, M.; </w:t>
      </w:r>
      <w:proofErr w:type="spellStart"/>
      <w:r w:rsidRPr="00911143">
        <w:rPr>
          <w:rFonts w:eastAsia="Times New Roman"/>
          <w:noProof w:val="0"/>
          <w:color w:val="auto"/>
          <w:sz w:val="18"/>
          <w:szCs w:val="18"/>
          <w:lang w:eastAsia="en-US"/>
        </w:rPr>
        <w:t>Barbecot</w:t>
      </w:r>
      <w:proofErr w:type="spellEnd"/>
      <w:r w:rsidRPr="00911143">
        <w:rPr>
          <w:rFonts w:eastAsia="Times New Roman"/>
          <w:noProof w:val="0"/>
          <w:color w:val="auto"/>
          <w:sz w:val="18"/>
          <w:szCs w:val="18"/>
          <w:lang w:eastAsia="en-US"/>
        </w:rPr>
        <w:t xml:space="preserve">, F.; </w:t>
      </w:r>
      <w:proofErr w:type="spellStart"/>
      <w:r w:rsidRPr="00911143">
        <w:rPr>
          <w:rFonts w:eastAsia="Times New Roman"/>
          <w:noProof w:val="0"/>
          <w:color w:val="auto"/>
          <w:sz w:val="18"/>
          <w:szCs w:val="18"/>
          <w:lang w:eastAsia="en-US"/>
        </w:rPr>
        <w:t>Gibert</w:t>
      </w:r>
      <w:proofErr w:type="spellEnd"/>
      <w:r w:rsidRPr="00911143">
        <w:rPr>
          <w:rFonts w:eastAsia="Times New Roman"/>
          <w:noProof w:val="0"/>
          <w:color w:val="auto"/>
          <w:sz w:val="18"/>
          <w:szCs w:val="18"/>
          <w:lang w:eastAsia="en-US"/>
        </w:rPr>
        <w:t xml:space="preserve">, E.; Alvarado, J.A.C.; Marlin, C.; </w:t>
      </w:r>
      <w:proofErr w:type="spellStart"/>
      <w:r w:rsidRPr="00911143">
        <w:rPr>
          <w:rFonts w:eastAsia="Times New Roman"/>
          <w:noProof w:val="0"/>
          <w:color w:val="auto"/>
          <w:sz w:val="18"/>
          <w:szCs w:val="18"/>
          <w:lang w:eastAsia="en-US"/>
        </w:rPr>
        <w:t>Massault</w:t>
      </w:r>
      <w:proofErr w:type="spellEnd"/>
      <w:r w:rsidRPr="00911143">
        <w:rPr>
          <w:rFonts w:eastAsia="Times New Roman"/>
          <w:noProof w:val="0"/>
          <w:color w:val="auto"/>
          <w:sz w:val="18"/>
          <w:szCs w:val="18"/>
          <w:lang w:eastAsia="en-US"/>
        </w:rPr>
        <w:t xml:space="preserve">, M. Open to closed system transition traced through the TDIC isotopic signature at the aquifer recharge stage, implications for groundwater 14C dating. </w:t>
      </w:r>
      <w:proofErr w:type="spellStart"/>
      <w:r w:rsidRPr="00911143">
        <w:rPr>
          <w:rFonts w:eastAsia="Times New Roman"/>
          <w:i/>
          <w:iCs/>
          <w:noProof w:val="0"/>
          <w:color w:val="auto"/>
          <w:sz w:val="18"/>
          <w:szCs w:val="18"/>
          <w:lang w:eastAsia="en-US"/>
        </w:rPr>
        <w:t>Geochim</w:t>
      </w:r>
      <w:proofErr w:type="spellEnd"/>
      <w:r w:rsidRPr="00911143">
        <w:rPr>
          <w:rFonts w:eastAsia="Times New Roman"/>
          <w:i/>
          <w:iCs/>
          <w:noProof w:val="0"/>
          <w:color w:val="auto"/>
          <w:sz w:val="18"/>
          <w:szCs w:val="18"/>
          <w:lang w:eastAsia="en-US"/>
        </w:rPr>
        <w:t xml:space="preserve">. </w:t>
      </w:r>
      <w:proofErr w:type="spellStart"/>
      <w:r w:rsidRPr="00911143">
        <w:rPr>
          <w:rFonts w:eastAsia="Times New Roman"/>
          <w:i/>
          <w:iCs/>
          <w:noProof w:val="0"/>
          <w:color w:val="auto"/>
          <w:sz w:val="18"/>
          <w:szCs w:val="18"/>
          <w:lang w:eastAsia="en-US"/>
        </w:rPr>
        <w:t>Cosmochim</w:t>
      </w:r>
      <w:proofErr w:type="spellEnd"/>
      <w:r w:rsidRPr="00911143">
        <w:rPr>
          <w:rFonts w:eastAsia="Times New Roman"/>
          <w:i/>
          <w:iCs/>
          <w:noProof w:val="0"/>
          <w:color w:val="auto"/>
          <w:sz w:val="18"/>
          <w:szCs w:val="18"/>
          <w:lang w:eastAsia="en-US"/>
        </w:rPr>
        <w:t>. Acta</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2009</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73</w:t>
      </w:r>
      <w:r>
        <w:rPr>
          <w:rFonts w:eastAsia="Times New Roman"/>
          <w:bCs/>
          <w:noProof w:val="0"/>
          <w:color w:val="auto"/>
          <w:sz w:val="18"/>
          <w:szCs w:val="18"/>
          <w:lang w:eastAsia="en-US"/>
        </w:rPr>
        <w:t>, 6488–6501</w:t>
      </w:r>
      <w:r w:rsidRPr="00911143">
        <w:rPr>
          <w:rFonts w:eastAsia="Times New Roman"/>
          <w:noProof w:val="0"/>
          <w:color w:val="auto"/>
          <w:sz w:val="18"/>
          <w:szCs w:val="18"/>
          <w:lang w:eastAsia="en-US"/>
        </w:rPr>
        <w:t xml:space="preserve">, </w:t>
      </w:r>
      <w:proofErr w:type="gramStart"/>
      <w:r>
        <w:rPr>
          <w:rFonts w:eastAsia="Times New Roman"/>
          <w:noProof w:val="0"/>
          <w:color w:val="auto"/>
          <w:sz w:val="18"/>
          <w:szCs w:val="18"/>
          <w:lang w:eastAsia="en-US"/>
        </w:rPr>
        <w:t>doi:</w:t>
      </w:r>
      <w:r w:rsidRPr="00911143">
        <w:rPr>
          <w:rFonts w:eastAsia="Times New Roman"/>
          <w:noProof w:val="0"/>
          <w:color w:val="auto"/>
          <w:sz w:val="18"/>
          <w:szCs w:val="18"/>
          <w:lang w:eastAsia="en-US"/>
        </w:rPr>
        <w:t>10.1016/j.gca</w:t>
      </w:r>
      <w:proofErr w:type="gramEnd"/>
      <w:r w:rsidRPr="00911143">
        <w:rPr>
          <w:rFonts w:eastAsia="Times New Roman"/>
          <w:noProof w:val="0"/>
          <w:color w:val="auto"/>
          <w:sz w:val="18"/>
          <w:szCs w:val="18"/>
          <w:lang w:eastAsia="en-US"/>
        </w:rPr>
        <w:t>.2009.07.032.</w:t>
      </w:r>
    </w:p>
    <w:p w14:paraId="2D2E91BA"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Clark, I.D. </w:t>
      </w:r>
      <w:r w:rsidRPr="00911143">
        <w:rPr>
          <w:rFonts w:eastAsia="Times New Roman"/>
          <w:i/>
          <w:iCs/>
          <w:noProof w:val="0"/>
          <w:color w:val="auto"/>
          <w:sz w:val="18"/>
          <w:szCs w:val="18"/>
          <w:lang w:eastAsia="en-US"/>
        </w:rPr>
        <w:t xml:space="preserve">Groundwater </w:t>
      </w:r>
      <w:proofErr w:type="gramStart"/>
      <w:r w:rsidRPr="00911143">
        <w:rPr>
          <w:rFonts w:eastAsia="Times New Roman"/>
          <w:i/>
          <w:iCs/>
          <w:noProof w:val="0"/>
          <w:color w:val="auto"/>
          <w:sz w:val="18"/>
          <w:szCs w:val="18"/>
          <w:lang w:eastAsia="en-US"/>
        </w:rPr>
        <w:t>Geochemistry</w:t>
      </w:r>
      <w:proofErr w:type="gramEnd"/>
      <w:r w:rsidRPr="00911143">
        <w:rPr>
          <w:rFonts w:eastAsia="Times New Roman"/>
          <w:i/>
          <w:iCs/>
          <w:noProof w:val="0"/>
          <w:color w:val="auto"/>
          <w:sz w:val="18"/>
          <w:szCs w:val="18"/>
          <w:lang w:eastAsia="en-US"/>
        </w:rPr>
        <w:t xml:space="preserve"> and Isotopes</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CRC </w:t>
      </w:r>
      <w:r>
        <w:rPr>
          <w:rFonts w:eastAsia="Times New Roman"/>
          <w:noProof w:val="0"/>
          <w:color w:val="auto"/>
          <w:sz w:val="18"/>
          <w:szCs w:val="18"/>
          <w:lang w:eastAsia="en-US"/>
        </w:rPr>
        <w:t>P</w:t>
      </w:r>
      <w:r w:rsidRPr="00911143">
        <w:rPr>
          <w:rFonts w:eastAsia="Times New Roman"/>
          <w:noProof w:val="0"/>
          <w:color w:val="auto"/>
          <w:sz w:val="18"/>
          <w:szCs w:val="18"/>
          <w:lang w:eastAsia="en-US"/>
        </w:rPr>
        <w:t>ress</w:t>
      </w:r>
      <w:r>
        <w:rPr>
          <w:rFonts w:eastAsia="Times New Roman"/>
          <w:noProof w:val="0"/>
          <w:color w:val="auto"/>
          <w:sz w:val="18"/>
          <w:szCs w:val="18"/>
          <w:lang w:eastAsia="en-US"/>
        </w:rPr>
        <w:t>: Boca Raton, FL, USA, 2015</w:t>
      </w:r>
      <w:r w:rsidRPr="00911143">
        <w:rPr>
          <w:rFonts w:eastAsia="Times New Roman"/>
          <w:noProof w:val="0"/>
          <w:color w:val="auto"/>
          <w:sz w:val="18"/>
          <w:szCs w:val="18"/>
          <w:lang w:eastAsia="en-US"/>
        </w:rPr>
        <w:t>.</w:t>
      </w:r>
    </w:p>
    <w:p w14:paraId="6E99522D" w14:textId="0EAB4422"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Clark, I.D.</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Fritz, P. </w:t>
      </w:r>
      <w:r w:rsidRPr="00911143">
        <w:rPr>
          <w:rFonts w:eastAsia="Times New Roman"/>
          <w:i/>
          <w:iCs/>
          <w:noProof w:val="0"/>
          <w:color w:val="auto"/>
          <w:sz w:val="18"/>
          <w:szCs w:val="18"/>
          <w:lang w:eastAsia="en-US"/>
        </w:rPr>
        <w:t>Environmental Isotopes</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Hydrology Lewis Publishers</w:t>
      </w:r>
      <w:r>
        <w:rPr>
          <w:rFonts w:eastAsia="Times New Roman"/>
          <w:noProof w:val="0"/>
          <w:color w:val="auto"/>
          <w:sz w:val="18"/>
          <w:szCs w:val="18"/>
          <w:lang w:eastAsia="en-US"/>
        </w:rPr>
        <w:t>:</w:t>
      </w:r>
      <w:r w:rsidRPr="00911143">
        <w:rPr>
          <w:rFonts w:eastAsia="Times New Roman"/>
          <w:noProof w:val="0"/>
          <w:color w:val="auto"/>
          <w:sz w:val="18"/>
          <w:szCs w:val="18"/>
          <w:lang w:eastAsia="en-US"/>
        </w:rPr>
        <w:t xml:space="preserve"> Boca </w:t>
      </w:r>
      <w:r w:rsidRPr="004F190C">
        <w:rPr>
          <w:rFonts w:eastAsia="Times New Roman"/>
          <w:noProof w:val="0"/>
          <w:color w:val="auto"/>
          <w:sz w:val="18"/>
          <w:szCs w:val="18"/>
          <w:lang w:eastAsia="en-US"/>
        </w:rPr>
        <w:t>Raton, FL, USA</w:t>
      </w:r>
      <w:r w:rsidR="00AF5E63" w:rsidRPr="004F190C">
        <w:rPr>
          <w:rFonts w:eastAsia="Times New Roman"/>
          <w:noProof w:val="0"/>
          <w:color w:val="auto"/>
          <w:sz w:val="18"/>
          <w:szCs w:val="18"/>
          <w:lang w:eastAsia="en-US"/>
        </w:rPr>
        <w:t xml:space="preserve">, </w:t>
      </w:r>
      <w:r w:rsidR="00AF5E63" w:rsidRPr="004F190C">
        <w:rPr>
          <w:rFonts w:eastAsia="Times New Roman"/>
          <w:b/>
          <w:bCs/>
          <w:noProof w:val="0"/>
          <w:color w:val="auto"/>
          <w:sz w:val="18"/>
          <w:szCs w:val="18"/>
          <w:lang w:eastAsia="en-US"/>
        </w:rPr>
        <w:t>1997</w:t>
      </w:r>
      <w:r w:rsidRPr="004F190C">
        <w:rPr>
          <w:rFonts w:eastAsia="Times New Roman"/>
          <w:noProof w:val="0"/>
          <w:color w:val="auto"/>
          <w:sz w:val="18"/>
          <w:szCs w:val="18"/>
          <w:lang w:eastAsia="en-US"/>
        </w:rPr>
        <w:t>.</w:t>
      </w:r>
    </w:p>
    <w:p w14:paraId="0AF27EBD"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lastRenderedPageBreak/>
        <w:t xml:space="preserve">Cloutier, V.; Lefebvre, R.; Savard, M.M.; Therrien, R. Desalination of a sedimentary rock aquifer system invaded by Pleistocene Champlain Sea water and processes controlling groundwater geochemistry. </w:t>
      </w:r>
      <w:r w:rsidRPr="00911143">
        <w:rPr>
          <w:rFonts w:eastAsia="Times New Roman"/>
          <w:i/>
          <w:iCs/>
          <w:noProof w:val="0"/>
          <w:color w:val="auto"/>
          <w:sz w:val="18"/>
          <w:szCs w:val="18"/>
          <w:lang w:eastAsia="en-US"/>
        </w:rPr>
        <w:t>Environ. Earth Sci.</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2010</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59</w:t>
      </w:r>
      <w:r>
        <w:rPr>
          <w:rFonts w:eastAsia="Times New Roman"/>
          <w:bCs/>
          <w:noProof w:val="0"/>
          <w:color w:val="auto"/>
          <w:sz w:val="18"/>
          <w:szCs w:val="18"/>
          <w:lang w:eastAsia="en-US"/>
        </w:rPr>
        <w:t>, 977–994</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10.1007/s12665-009-0091-8.</w:t>
      </w:r>
    </w:p>
    <w:p w14:paraId="13F4CBD7"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911143">
        <w:rPr>
          <w:rFonts w:eastAsia="Times New Roman"/>
          <w:noProof w:val="0"/>
          <w:color w:val="auto"/>
          <w:sz w:val="18"/>
          <w:szCs w:val="18"/>
          <w:lang w:eastAsia="en-US"/>
        </w:rPr>
        <w:t>Barbecot</w:t>
      </w:r>
      <w:proofErr w:type="spellEnd"/>
      <w:r w:rsidRPr="00911143">
        <w:rPr>
          <w:rFonts w:eastAsia="Times New Roman"/>
          <w:noProof w:val="0"/>
          <w:color w:val="auto"/>
          <w:sz w:val="18"/>
          <w:szCs w:val="18"/>
          <w:lang w:eastAsia="en-US"/>
        </w:rPr>
        <w:t xml:space="preserve">, F.; Marlin, C.; </w:t>
      </w:r>
      <w:proofErr w:type="spellStart"/>
      <w:r w:rsidRPr="00911143">
        <w:rPr>
          <w:rFonts w:eastAsia="Times New Roman"/>
          <w:noProof w:val="0"/>
          <w:color w:val="auto"/>
          <w:sz w:val="18"/>
          <w:szCs w:val="18"/>
          <w:lang w:eastAsia="en-US"/>
        </w:rPr>
        <w:t>Gibert</w:t>
      </w:r>
      <w:proofErr w:type="spellEnd"/>
      <w:r w:rsidRPr="00911143">
        <w:rPr>
          <w:rFonts w:eastAsia="Times New Roman"/>
          <w:noProof w:val="0"/>
          <w:color w:val="auto"/>
          <w:sz w:val="18"/>
          <w:szCs w:val="18"/>
          <w:lang w:eastAsia="en-US"/>
        </w:rPr>
        <w:t xml:space="preserve">, E.; </w:t>
      </w:r>
      <w:proofErr w:type="spellStart"/>
      <w:r w:rsidRPr="00911143">
        <w:rPr>
          <w:rFonts w:eastAsia="Times New Roman"/>
          <w:noProof w:val="0"/>
          <w:color w:val="auto"/>
          <w:sz w:val="18"/>
          <w:szCs w:val="18"/>
          <w:lang w:eastAsia="en-US"/>
        </w:rPr>
        <w:t>Dever</w:t>
      </w:r>
      <w:proofErr w:type="spellEnd"/>
      <w:r w:rsidRPr="00911143">
        <w:rPr>
          <w:rFonts w:eastAsia="Times New Roman"/>
          <w:noProof w:val="0"/>
          <w:color w:val="auto"/>
          <w:sz w:val="18"/>
          <w:szCs w:val="18"/>
          <w:lang w:eastAsia="en-US"/>
        </w:rPr>
        <w:t xml:space="preserve">, L. </w:t>
      </w:r>
      <w:proofErr w:type="spellStart"/>
      <w:r w:rsidRPr="00911143">
        <w:rPr>
          <w:rFonts w:eastAsia="Times New Roman"/>
          <w:noProof w:val="0"/>
          <w:color w:val="auto"/>
          <w:sz w:val="18"/>
          <w:szCs w:val="18"/>
          <w:lang w:eastAsia="en-US"/>
        </w:rPr>
        <w:t>Hydrochemical</w:t>
      </w:r>
      <w:proofErr w:type="spellEnd"/>
      <w:r w:rsidRPr="00911143">
        <w:rPr>
          <w:rFonts w:eastAsia="Times New Roman"/>
          <w:noProof w:val="0"/>
          <w:color w:val="auto"/>
          <w:sz w:val="18"/>
          <w:szCs w:val="18"/>
          <w:lang w:eastAsia="en-US"/>
        </w:rPr>
        <w:t xml:space="preserve"> and isotopic </w:t>
      </w:r>
      <w:proofErr w:type="spellStart"/>
      <w:r w:rsidRPr="00911143">
        <w:rPr>
          <w:rFonts w:eastAsia="Times New Roman"/>
          <w:noProof w:val="0"/>
          <w:color w:val="auto"/>
          <w:sz w:val="18"/>
          <w:szCs w:val="18"/>
          <w:lang w:eastAsia="en-US"/>
        </w:rPr>
        <w:t>characterisation</w:t>
      </w:r>
      <w:proofErr w:type="spellEnd"/>
      <w:r w:rsidRPr="00911143">
        <w:rPr>
          <w:rFonts w:eastAsia="Times New Roman"/>
          <w:noProof w:val="0"/>
          <w:color w:val="auto"/>
          <w:sz w:val="18"/>
          <w:szCs w:val="18"/>
          <w:lang w:eastAsia="en-US"/>
        </w:rPr>
        <w:t xml:space="preserve"> of the Bathonian and Bajocian coastal aquifer of the Caen area (northern France). </w:t>
      </w:r>
      <w:r w:rsidRPr="00911143">
        <w:rPr>
          <w:rFonts w:eastAsia="Times New Roman"/>
          <w:i/>
          <w:iCs/>
          <w:noProof w:val="0"/>
          <w:color w:val="auto"/>
          <w:sz w:val="18"/>
          <w:szCs w:val="18"/>
          <w:lang w:eastAsia="en-US"/>
        </w:rPr>
        <w:t>Appl. Geochem.</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2000</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15</w:t>
      </w:r>
      <w:r>
        <w:rPr>
          <w:rFonts w:eastAsia="Times New Roman"/>
          <w:bCs/>
          <w:noProof w:val="0"/>
          <w:color w:val="auto"/>
          <w:sz w:val="18"/>
          <w:szCs w:val="18"/>
          <w:lang w:eastAsia="en-US"/>
        </w:rPr>
        <w:t>, 791–805</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10.1016/s0883-292700088-8.</w:t>
      </w:r>
    </w:p>
    <w:p w14:paraId="313CACE8"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Han, L.-F.; Plummer, L.N.; Aggarwal, P. A graphical method to evaluate predominant geochemical processes occurring in groundwater systems for radiocarbon dating. </w:t>
      </w:r>
      <w:r w:rsidRPr="00911143">
        <w:rPr>
          <w:rFonts w:eastAsia="Times New Roman"/>
          <w:i/>
          <w:iCs/>
          <w:noProof w:val="0"/>
          <w:color w:val="auto"/>
          <w:sz w:val="18"/>
          <w:szCs w:val="18"/>
          <w:lang w:eastAsia="en-US"/>
        </w:rPr>
        <w:t>Chem. Geol.</w:t>
      </w:r>
      <w:r w:rsidRPr="00911143">
        <w:rPr>
          <w:rFonts w:eastAsia="Times New Roman"/>
          <w:noProof w:val="0"/>
          <w:color w:val="auto"/>
          <w:sz w:val="18"/>
          <w:szCs w:val="18"/>
          <w:lang w:eastAsia="en-US"/>
        </w:rPr>
        <w:t xml:space="preserve"> </w:t>
      </w:r>
      <w:r w:rsidRPr="00911143">
        <w:rPr>
          <w:rFonts w:eastAsia="Times New Roman"/>
          <w:b/>
          <w:bCs/>
          <w:noProof w:val="0"/>
          <w:color w:val="auto"/>
          <w:sz w:val="18"/>
          <w:szCs w:val="18"/>
          <w:lang w:eastAsia="en-US"/>
        </w:rPr>
        <w:t>2012</w:t>
      </w:r>
      <w:r w:rsidRPr="00911143">
        <w:rPr>
          <w:rFonts w:eastAsia="Times New Roman"/>
          <w:noProof w:val="0"/>
          <w:color w:val="auto"/>
          <w:sz w:val="18"/>
          <w:szCs w:val="18"/>
          <w:lang w:eastAsia="en-US"/>
        </w:rPr>
        <w:t xml:space="preserve">, </w:t>
      </w:r>
      <w:r w:rsidRPr="00911143">
        <w:rPr>
          <w:rFonts w:eastAsia="Times New Roman"/>
          <w:i/>
          <w:iCs/>
          <w:noProof w:val="0"/>
          <w:color w:val="auto"/>
          <w:sz w:val="18"/>
          <w:szCs w:val="18"/>
          <w:lang w:eastAsia="en-US"/>
        </w:rPr>
        <w:t>318-319</w:t>
      </w:r>
      <w:r w:rsidRPr="00911143">
        <w:rPr>
          <w:rFonts w:eastAsia="Times New Roman"/>
          <w:noProof w:val="0"/>
          <w:color w:val="auto"/>
          <w:sz w:val="18"/>
          <w:szCs w:val="18"/>
          <w:lang w:eastAsia="en-US"/>
        </w:rPr>
        <w:t xml:space="preserve">, 88–112, </w:t>
      </w:r>
      <w:proofErr w:type="gramStart"/>
      <w:r>
        <w:rPr>
          <w:rFonts w:eastAsia="Times New Roman"/>
          <w:noProof w:val="0"/>
          <w:color w:val="auto"/>
          <w:sz w:val="18"/>
          <w:szCs w:val="18"/>
          <w:lang w:eastAsia="en-US"/>
        </w:rPr>
        <w:t>doi:</w:t>
      </w:r>
      <w:r w:rsidRPr="00911143">
        <w:rPr>
          <w:rFonts w:eastAsia="Times New Roman"/>
          <w:noProof w:val="0"/>
          <w:color w:val="auto"/>
          <w:sz w:val="18"/>
          <w:szCs w:val="18"/>
          <w:lang w:eastAsia="en-US"/>
        </w:rPr>
        <w:t>10.1016/j.chemgeo</w:t>
      </w:r>
      <w:proofErr w:type="gramEnd"/>
      <w:r w:rsidRPr="00911143">
        <w:rPr>
          <w:rFonts w:eastAsia="Times New Roman"/>
          <w:noProof w:val="0"/>
          <w:color w:val="auto"/>
          <w:sz w:val="18"/>
          <w:szCs w:val="18"/>
          <w:lang w:eastAsia="en-US"/>
        </w:rPr>
        <w:t>.2012.05.004.</w:t>
      </w:r>
    </w:p>
    <w:p w14:paraId="7FC203CA"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Fontes, J.-C.; Garnier, J.-M. Determination of the initial14C activity of the total dissolved carbon: A review of the existing models and a new approach. </w:t>
      </w:r>
      <w:r w:rsidRPr="00911143">
        <w:rPr>
          <w:rFonts w:eastAsia="Times New Roman"/>
          <w:i/>
          <w:iCs/>
          <w:noProof w:val="0"/>
          <w:color w:val="auto"/>
          <w:sz w:val="18"/>
          <w:szCs w:val="18"/>
          <w:lang w:eastAsia="en-US"/>
        </w:rPr>
        <w:t xml:space="preserve">Water </w:t>
      </w:r>
      <w:proofErr w:type="spellStart"/>
      <w:r w:rsidRPr="00911143">
        <w:rPr>
          <w:rFonts w:eastAsia="Times New Roman"/>
          <w:i/>
          <w:iCs/>
          <w:noProof w:val="0"/>
          <w:color w:val="auto"/>
          <w:sz w:val="18"/>
          <w:szCs w:val="18"/>
          <w:lang w:eastAsia="en-US"/>
        </w:rPr>
        <w:t>Resour</w:t>
      </w:r>
      <w:proofErr w:type="spellEnd"/>
      <w:r w:rsidRPr="00911143">
        <w:rPr>
          <w:rFonts w:eastAsia="Times New Roman"/>
          <w:i/>
          <w:iCs/>
          <w:noProof w:val="0"/>
          <w:color w:val="auto"/>
          <w:sz w:val="18"/>
          <w:szCs w:val="18"/>
          <w:lang w:eastAsia="en-US"/>
        </w:rPr>
        <w:t>. Res.</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1979</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15</w:t>
      </w:r>
      <w:r>
        <w:rPr>
          <w:rFonts w:eastAsia="Times New Roman"/>
          <w:bCs/>
          <w:noProof w:val="0"/>
          <w:color w:val="auto"/>
          <w:sz w:val="18"/>
          <w:szCs w:val="18"/>
          <w:lang w:eastAsia="en-US"/>
        </w:rPr>
        <w:t>, 399–413</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10.1029/wr015i002p00399.</w:t>
      </w:r>
    </w:p>
    <w:p w14:paraId="51184F79" w14:textId="77777777" w:rsidR="009D0F5F" w:rsidRPr="00911143"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Cane, G.; Clark, I.D. Tracing Ground Water Recharge in an Agricultural Watershed with Isotopes. </w:t>
      </w:r>
      <w:r w:rsidRPr="00911143">
        <w:rPr>
          <w:rFonts w:eastAsia="Times New Roman"/>
          <w:i/>
          <w:iCs/>
          <w:noProof w:val="0"/>
          <w:color w:val="auto"/>
          <w:sz w:val="18"/>
          <w:szCs w:val="18"/>
          <w:lang w:eastAsia="en-US"/>
        </w:rPr>
        <w:t>Ground Water</w:t>
      </w:r>
      <w:r w:rsidRPr="00911143">
        <w:rPr>
          <w:rFonts w:eastAsia="Times New Roman"/>
          <w:noProof w:val="0"/>
          <w:color w:val="auto"/>
          <w:sz w:val="18"/>
          <w:szCs w:val="18"/>
          <w:lang w:eastAsia="en-US"/>
        </w:rPr>
        <w:t xml:space="preserve"> </w:t>
      </w:r>
      <w:r>
        <w:rPr>
          <w:rFonts w:eastAsia="Times New Roman"/>
          <w:b/>
          <w:bCs/>
          <w:noProof w:val="0"/>
          <w:color w:val="auto"/>
          <w:sz w:val="18"/>
          <w:szCs w:val="18"/>
          <w:lang w:eastAsia="en-US"/>
        </w:rPr>
        <w:t>1999</w:t>
      </w:r>
      <w:r>
        <w:rPr>
          <w:rFonts w:eastAsia="Times New Roman"/>
          <w:bCs/>
          <w:noProof w:val="0"/>
          <w:color w:val="auto"/>
          <w:sz w:val="18"/>
          <w:szCs w:val="18"/>
          <w:lang w:eastAsia="en-US"/>
        </w:rPr>
        <w:t xml:space="preserve">, </w:t>
      </w:r>
      <w:r>
        <w:rPr>
          <w:rFonts w:eastAsia="Times New Roman"/>
          <w:bCs/>
          <w:i/>
          <w:noProof w:val="0"/>
          <w:color w:val="auto"/>
          <w:sz w:val="18"/>
          <w:szCs w:val="18"/>
          <w:lang w:eastAsia="en-US"/>
        </w:rPr>
        <w:t>37</w:t>
      </w:r>
      <w:r>
        <w:rPr>
          <w:rFonts w:eastAsia="Times New Roman"/>
          <w:bCs/>
          <w:noProof w:val="0"/>
          <w:color w:val="auto"/>
          <w:sz w:val="18"/>
          <w:szCs w:val="18"/>
          <w:lang w:eastAsia="en-US"/>
        </w:rPr>
        <w:t>, 133–139</w:t>
      </w:r>
      <w:r w:rsidRPr="00911143">
        <w:rPr>
          <w:rFonts w:eastAsia="Times New Roman"/>
          <w:noProof w:val="0"/>
          <w:color w:val="auto"/>
          <w:sz w:val="18"/>
          <w:szCs w:val="18"/>
          <w:lang w:eastAsia="en-US"/>
        </w:rPr>
        <w:t xml:space="preserve">, </w:t>
      </w:r>
      <w:r>
        <w:rPr>
          <w:rFonts w:eastAsia="Times New Roman"/>
          <w:noProof w:val="0"/>
          <w:color w:val="auto"/>
          <w:sz w:val="18"/>
          <w:szCs w:val="18"/>
          <w:lang w:eastAsia="en-US"/>
        </w:rPr>
        <w:t>doi:</w:t>
      </w:r>
      <w:r w:rsidRPr="00911143">
        <w:rPr>
          <w:rFonts w:eastAsia="Times New Roman"/>
          <w:noProof w:val="0"/>
          <w:color w:val="auto"/>
          <w:sz w:val="18"/>
          <w:szCs w:val="18"/>
          <w:lang w:eastAsia="en-US"/>
        </w:rPr>
        <w:t>10.1111/j.1745-</w:t>
      </w:r>
      <w:proofErr w:type="gramStart"/>
      <w:r w:rsidRPr="00911143">
        <w:rPr>
          <w:rFonts w:eastAsia="Times New Roman"/>
          <w:noProof w:val="0"/>
          <w:color w:val="auto"/>
          <w:sz w:val="18"/>
          <w:szCs w:val="18"/>
          <w:lang w:eastAsia="en-US"/>
        </w:rPr>
        <w:t>6584.1999.tb</w:t>
      </w:r>
      <w:proofErr w:type="gramEnd"/>
      <w:r w:rsidRPr="00911143">
        <w:rPr>
          <w:rFonts w:eastAsia="Times New Roman"/>
          <w:noProof w:val="0"/>
          <w:color w:val="auto"/>
          <w:sz w:val="18"/>
          <w:szCs w:val="18"/>
          <w:lang w:eastAsia="en-US"/>
        </w:rPr>
        <w:t>00966.x.</w:t>
      </w:r>
    </w:p>
    <w:p w14:paraId="2CADAECC"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911143">
        <w:rPr>
          <w:rFonts w:eastAsia="Times New Roman"/>
          <w:noProof w:val="0"/>
          <w:color w:val="auto"/>
          <w:sz w:val="18"/>
          <w:szCs w:val="18"/>
          <w:lang w:eastAsia="en-US"/>
        </w:rPr>
        <w:t xml:space="preserve">Keith, M.; Weber, J. Carbon and oxygen isotopic </w:t>
      </w:r>
      <w:r w:rsidRPr="004F190C">
        <w:rPr>
          <w:rFonts w:eastAsia="Times New Roman"/>
          <w:noProof w:val="0"/>
          <w:color w:val="auto"/>
          <w:sz w:val="18"/>
          <w:szCs w:val="18"/>
          <w:lang w:eastAsia="en-US"/>
        </w:rPr>
        <w:t xml:space="preserve">composition of selected limestones and fossils. </w:t>
      </w:r>
      <w:proofErr w:type="spellStart"/>
      <w:r w:rsidRPr="004F190C">
        <w:rPr>
          <w:rFonts w:eastAsia="Times New Roman"/>
          <w:i/>
          <w:iCs/>
          <w:noProof w:val="0"/>
          <w:color w:val="auto"/>
          <w:sz w:val="18"/>
          <w:szCs w:val="18"/>
          <w:lang w:eastAsia="en-US"/>
        </w:rPr>
        <w:t>Geochim</w:t>
      </w:r>
      <w:proofErr w:type="spellEnd"/>
      <w:r w:rsidRPr="004F190C">
        <w:rPr>
          <w:rFonts w:eastAsia="Times New Roman"/>
          <w:i/>
          <w:iCs/>
          <w:noProof w:val="0"/>
          <w:color w:val="auto"/>
          <w:sz w:val="18"/>
          <w:szCs w:val="18"/>
          <w:lang w:eastAsia="en-US"/>
        </w:rPr>
        <w:t xml:space="preserve">. </w:t>
      </w:r>
      <w:proofErr w:type="spellStart"/>
      <w:r w:rsidRPr="004F190C">
        <w:rPr>
          <w:rFonts w:eastAsia="Times New Roman"/>
          <w:i/>
          <w:iCs/>
          <w:noProof w:val="0"/>
          <w:color w:val="auto"/>
          <w:sz w:val="18"/>
          <w:szCs w:val="18"/>
          <w:lang w:eastAsia="en-US"/>
        </w:rPr>
        <w:t>Cosmochim</w:t>
      </w:r>
      <w:proofErr w:type="spellEnd"/>
      <w:r w:rsidRPr="004F190C">
        <w:rPr>
          <w:rFonts w:eastAsia="Times New Roman"/>
          <w:i/>
          <w:iCs/>
          <w:noProof w:val="0"/>
          <w:color w:val="auto"/>
          <w:sz w:val="18"/>
          <w:szCs w:val="18"/>
          <w:lang w:eastAsia="en-US"/>
        </w:rPr>
        <w:t>. Acta</w:t>
      </w:r>
      <w:r w:rsidRPr="004F190C">
        <w:rPr>
          <w:rFonts w:eastAsia="Times New Roman"/>
          <w:noProof w:val="0"/>
          <w:color w:val="auto"/>
          <w:sz w:val="18"/>
          <w:szCs w:val="18"/>
          <w:lang w:eastAsia="en-US"/>
        </w:rPr>
        <w:t xml:space="preserve"> </w:t>
      </w:r>
      <w:r w:rsidRPr="004F190C">
        <w:rPr>
          <w:rFonts w:eastAsia="Times New Roman"/>
          <w:b/>
          <w:bCs/>
          <w:noProof w:val="0"/>
          <w:color w:val="auto"/>
          <w:sz w:val="18"/>
          <w:szCs w:val="18"/>
          <w:lang w:eastAsia="en-US"/>
        </w:rPr>
        <w:t>1964</w:t>
      </w:r>
      <w:r w:rsidRPr="004F190C">
        <w:rPr>
          <w:rFonts w:eastAsia="Times New Roman"/>
          <w:bCs/>
          <w:noProof w:val="0"/>
          <w:color w:val="auto"/>
          <w:sz w:val="18"/>
          <w:szCs w:val="18"/>
          <w:lang w:eastAsia="en-US"/>
        </w:rPr>
        <w:t xml:space="preserve">, </w:t>
      </w:r>
      <w:r w:rsidRPr="004F190C">
        <w:rPr>
          <w:rFonts w:eastAsia="Times New Roman"/>
          <w:bCs/>
          <w:i/>
          <w:noProof w:val="0"/>
          <w:color w:val="auto"/>
          <w:sz w:val="18"/>
          <w:szCs w:val="18"/>
          <w:lang w:eastAsia="en-US"/>
        </w:rPr>
        <w:t>28</w:t>
      </w:r>
      <w:r w:rsidRPr="004F190C">
        <w:rPr>
          <w:rFonts w:eastAsia="Times New Roman"/>
          <w:bCs/>
          <w:noProof w:val="0"/>
          <w:color w:val="auto"/>
          <w:sz w:val="18"/>
          <w:szCs w:val="18"/>
          <w:lang w:eastAsia="en-US"/>
        </w:rPr>
        <w:t>, 1787–1816</w:t>
      </w:r>
      <w:r w:rsidRPr="004F190C">
        <w:rPr>
          <w:rFonts w:eastAsia="Times New Roman"/>
          <w:noProof w:val="0"/>
          <w:color w:val="auto"/>
          <w:sz w:val="18"/>
          <w:szCs w:val="18"/>
          <w:lang w:eastAsia="en-US"/>
        </w:rPr>
        <w:t>, doi:10.1016/0016-703790022-5.</w:t>
      </w:r>
    </w:p>
    <w:p w14:paraId="1E1799C9" w14:textId="33322C5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4F190C">
        <w:rPr>
          <w:rFonts w:eastAsia="Times New Roman"/>
          <w:noProof w:val="0"/>
          <w:color w:val="auto"/>
          <w:sz w:val="18"/>
          <w:szCs w:val="18"/>
          <w:lang w:eastAsia="en-US"/>
        </w:rPr>
        <w:t xml:space="preserve">Dickson, A.G.; </w:t>
      </w:r>
      <w:proofErr w:type="spellStart"/>
      <w:r w:rsidRPr="004F190C">
        <w:rPr>
          <w:rFonts w:eastAsia="Times New Roman"/>
          <w:noProof w:val="0"/>
          <w:color w:val="auto"/>
          <w:sz w:val="18"/>
          <w:szCs w:val="18"/>
          <w:lang w:eastAsia="en-US"/>
        </w:rPr>
        <w:t>Goyet</w:t>
      </w:r>
      <w:proofErr w:type="spellEnd"/>
      <w:r w:rsidRPr="004F190C">
        <w:rPr>
          <w:rFonts w:eastAsia="Times New Roman"/>
          <w:noProof w:val="0"/>
          <w:color w:val="auto"/>
          <w:sz w:val="18"/>
          <w:szCs w:val="18"/>
          <w:lang w:eastAsia="en-US"/>
        </w:rPr>
        <w:t xml:space="preserve">, C. </w:t>
      </w:r>
      <w:r w:rsidRPr="004F190C">
        <w:rPr>
          <w:rFonts w:eastAsia="Times New Roman"/>
          <w:i/>
          <w:iCs/>
          <w:noProof w:val="0"/>
          <w:color w:val="auto"/>
          <w:sz w:val="18"/>
          <w:szCs w:val="18"/>
          <w:lang w:eastAsia="en-US"/>
        </w:rPr>
        <w:t>Handbook of Methods for the Analysis of the Various Parameters of the Carbon Dioxide System in Sea Water</w:t>
      </w:r>
      <w:r w:rsidRPr="004F190C">
        <w:rPr>
          <w:rFonts w:eastAsia="Times New Roman"/>
          <w:noProof w:val="0"/>
          <w:color w:val="auto"/>
          <w:sz w:val="18"/>
          <w:szCs w:val="18"/>
          <w:lang w:eastAsia="en-US"/>
        </w:rPr>
        <w:t xml:space="preserve">; </w:t>
      </w:r>
      <w:r w:rsidR="00DD2051" w:rsidRPr="004F190C">
        <w:rPr>
          <w:rFonts w:eastAsia="Times New Roman"/>
          <w:noProof w:val="0"/>
          <w:color w:val="auto"/>
          <w:sz w:val="18"/>
          <w:szCs w:val="18"/>
          <w:lang w:eastAsia="en-US"/>
        </w:rPr>
        <w:t xml:space="preserve">Oak Ridge National Lab., TN (United States). </w:t>
      </w:r>
      <w:r w:rsidRPr="004F190C">
        <w:rPr>
          <w:rFonts w:eastAsia="Times New Roman"/>
          <w:noProof w:val="0"/>
          <w:color w:val="auto"/>
          <w:sz w:val="18"/>
          <w:szCs w:val="18"/>
          <w:lang w:eastAsia="en-US"/>
        </w:rPr>
        <w:t>Version 2 ORNL/CDIAC–74</w:t>
      </w:r>
      <w:r w:rsidR="00E1355B" w:rsidRPr="004F190C">
        <w:rPr>
          <w:rFonts w:eastAsia="Times New Roman"/>
          <w:noProof w:val="0"/>
          <w:color w:val="auto"/>
          <w:sz w:val="18"/>
          <w:szCs w:val="18"/>
          <w:lang w:eastAsia="en-US"/>
        </w:rPr>
        <w:t>, 1994.</w:t>
      </w:r>
    </w:p>
    <w:p w14:paraId="0A73670D" w14:textId="778895F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4F190C">
        <w:rPr>
          <w:rFonts w:eastAsia="Times New Roman"/>
          <w:noProof w:val="0"/>
          <w:color w:val="auto"/>
          <w:sz w:val="18"/>
          <w:szCs w:val="18"/>
          <w:lang w:eastAsia="en-US"/>
        </w:rPr>
        <w:t xml:space="preserve">Meyzonnat, G.; </w:t>
      </w:r>
      <w:proofErr w:type="spellStart"/>
      <w:r w:rsidRPr="004F190C">
        <w:rPr>
          <w:rFonts w:eastAsia="Times New Roman"/>
          <w:noProof w:val="0"/>
          <w:color w:val="auto"/>
          <w:sz w:val="18"/>
          <w:szCs w:val="18"/>
          <w:lang w:eastAsia="en-US"/>
        </w:rPr>
        <w:t>Barbecot</w:t>
      </w:r>
      <w:proofErr w:type="spellEnd"/>
      <w:r w:rsidRPr="004F190C">
        <w:rPr>
          <w:rFonts w:eastAsia="Times New Roman"/>
          <w:noProof w:val="0"/>
          <w:color w:val="auto"/>
          <w:sz w:val="18"/>
          <w:szCs w:val="18"/>
          <w:lang w:eastAsia="en-US"/>
        </w:rPr>
        <w:t xml:space="preserve">, F.; </w:t>
      </w:r>
      <w:proofErr w:type="spellStart"/>
      <w:r w:rsidRPr="004F190C">
        <w:rPr>
          <w:rFonts w:eastAsia="Times New Roman"/>
          <w:noProof w:val="0"/>
          <w:color w:val="auto"/>
          <w:sz w:val="18"/>
          <w:szCs w:val="18"/>
          <w:lang w:eastAsia="en-US"/>
        </w:rPr>
        <w:t>Corcho</w:t>
      </w:r>
      <w:proofErr w:type="spellEnd"/>
      <w:r w:rsidRPr="004F190C">
        <w:rPr>
          <w:rFonts w:eastAsia="Times New Roman"/>
          <w:noProof w:val="0"/>
          <w:color w:val="auto"/>
          <w:sz w:val="18"/>
          <w:szCs w:val="18"/>
          <w:lang w:eastAsia="en-US"/>
        </w:rPr>
        <w:t xml:space="preserve">–Alvarado, J.A.; </w:t>
      </w:r>
      <w:proofErr w:type="spellStart"/>
      <w:r w:rsidRPr="004F190C">
        <w:rPr>
          <w:rFonts w:eastAsia="Times New Roman"/>
          <w:noProof w:val="0"/>
          <w:color w:val="auto"/>
          <w:sz w:val="18"/>
          <w:szCs w:val="18"/>
          <w:lang w:eastAsia="en-US"/>
        </w:rPr>
        <w:t>Tognelli</w:t>
      </w:r>
      <w:proofErr w:type="spellEnd"/>
      <w:r w:rsidRPr="004F190C">
        <w:rPr>
          <w:rFonts w:eastAsia="Times New Roman"/>
          <w:noProof w:val="0"/>
          <w:color w:val="auto"/>
          <w:sz w:val="18"/>
          <w:szCs w:val="18"/>
          <w:lang w:eastAsia="en-US"/>
        </w:rPr>
        <w:t xml:space="preserve">, A.; </w:t>
      </w:r>
      <w:proofErr w:type="spellStart"/>
      <w:r w:rsidRPr="004F190C">
        <w:rPr>
          <w:rFonts w:eastAsia="Times New Roman"/>
          <w:noProof w:val="0"/>
          <w:color w:val="auto"/>
          <w:sz w:val="18"/>
          <w:szCs w:val="18"/>
          <w:lang w:eastAsia="en-US"/>
        </w:rPr>
        <w:t>Zeyen</w:t>
      </w:r>
      <w:proofErr w:type="spellEnd"/>
      <w:r w:rsidRPr="004F190C">
        <w:rPr>
          <w:rFonts w:eastAsia="Times New Roman"/>
          <w:noProof w:val="0"/>
          <w:color w:val="auto"/>
          <w:sz w:val="18"/>
          <w:szCs w:val="18"/>
          <w:lang w:eastAsia="en-US"/>
        </w:rPr>
        <w:t xml:space="preserve">, H.; </w:t>
      </w:r>
      <w:proofErr w:type="spellStart"/>
      <w:r w:rsidRPr="004F190C">
        <w:rPr>
          <w:rFonts w:eastAsia="Times New Roman"/>
          <w:noProof w:val="0"/>
          <w:color w:val="auto"/>
          <w:sz w:val="18"/>
          <w:szCs w:val="18"/>
          <w:lang w:eastAsia="en-US"/>
        </w:rPr>
        <w:t>Mattei</w:t>
      </w:r>
      <w:proofErr w:type="spellEnd"/>
      <w:r w:rsidRPr="004F190C">
        <w:rPr>
          <w:rFonts w:eastAsia="Times New Roman"/>
          <w:noProof w:val="0"/>
          <w:color w:val="auto"/>
          <w:sz w:val="18"/>
          <w:szCs w:val="18"/>
          <w:lang w:eastAsia="en-US"/>
        </w:rPr>
        <w:t xml:space="preserve">, A.; McCormack, R. High–Resolution Wellbore Temperature Logging Combined with a Borehole–Scale Heat Budget: Conceptual and Analytical Approaches to Characterize Hydraulically Active Fractures and Groundwater Origin. </w:t>
      </w:r>
      <w:r w:rsidRPr="004F190C">
        <w:rPr>
          <w:rFonts w:eastAsia="Times New Roman"/>
          <w:i/>
          <w:iCs/>
          <w:noProof w:val="0"/>
          <w:color w:val="auto"/>
          <w:sz w:val="18"/>
          <w:szCs w:val="18"/>
          <w:lang w:eastAsia="en-US"/>
        </w:rPr>
        <w:t>Geofluids</w:t>
      </w:r>
      <w:r w:rsidR="00E1355B" w:rsidRPr="004F190C">
        <w:rPr>
          <w:rFonts w:eastAsia="Times New Roman"/>
          <w:noProof w:val="0"/>
          <w:color w:val="auto"/>
          <w:sz w:val="18"/>
          <w:szCs w:val="18"/>
          <w:lang w:eastAsia="en-US"/>
        </w:rPr>
        <w:t xml:space="preserve">, Volume </w:t>
      </w:r>
      <w:r w:rsidRPr="004F190C">
        <w:rPr>
          <w:rFonts w:eastAsia="Times New Roman"/>
          <w:b/>
          <w:bCs/>
          <w:noProof w:val="0"/>
          <w:color w:val="auto"/>
          <w:sz w:val="18"/>
          <w:szCs w:val="18"/>
          <w:lang w:eastAsia="en-US"/>
        </w:rPr>
        <w:t>2018</w:t>
      </w:r>
      <w:r w:rsidRPr="004F190C">
        <w:rPr>
          <w:rFonts w:eastAsia="Times New Roman"/>
          <w:noProof w:val="0"/>
          <w:color w:val="auto"/>
          <w:sz w:val="18"/>
          <w:szCs w:val="18"/>
          <w:lang w:eastAsia="en-US"/>
        </w:rPr>
        <w:t xml:space="preserve">, </w:t>
      </w:r>
      <w:r w:rsidR="00E1355B" w:rsidRPr="004F190C">
        <w:rPr>
          <w:rFonts w:eastAsia="Times New Roman"/>
          <w:noProof w:val="0"/>
          <w:color w:val="auto"/>
          <w:sz w:val="18"/>
          <w:szCs w:val="18"/>
          <w:lang w:eastAsia="en-US"/>
        </w:rPr>
        <w:t xml:space="preserve">Article </w:t>
      </w:r>
      <w:r w:rsidRPr="004F190C">
        <w:rPr>
          <w:rFonts w:eastAsia="Times New Roman"/>
          <w:noProof w:val="0"/>
          <w:color w:val="auto"/>
          <w:sz w:val="18"/>
          <w:szCs w:val="18"/>
          <w:lang w:eastAsia="en-US"/>
        </w:rPr>
        <w:t>ID 9461214</w:t>
      </w:r>
      <w:r w:rsidR="00E1355B" w:rsidRPr="004F190C">
        <w:rPr>
          <w:rFonts w:eastAsia="Times New Roman"/>
          <w:noProof w:val="0"/>
          <w:color w:val="auto"/>
          <w:sz w:val="18"/>
          <w:szCs w:val="18"/>
          <w:lang w:eastAsia="en-US"/>
        </w:rPr>
        <w:t>, 19 pages</w:t>
      </w:r>
      <w:r w:rsidRPr="004F190C">
        <w:rPr>
          <w:rFonts w:eastAsia="Times New Roman"/>
          <w:noProof w:val="0"/>
          <w:color w:val="auto"/>
          <w:sz w:val="18"/>
          <w:szCs w:val="18"/>
          <w:lang w:eastAsia="en-US"/>
        </w:rPr>
        <w:t>.</w:t>
      </w:r>
    </w:p>
    <w:p w14:paraId="08450597"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4F190C">
        <w:rPr>
          <w:rFonts w:eastAsia="Times New Roman"/>
          <w:noProof w:val="0"/>
          <w:color w:val="auto"/>
          <w:sz w:val="18"/>
          <w:szCs w:val="18"/>
          <w:lang w:eastAsia="en-US"/>
        </w:rPr>
        <w:t xml:space="preserve">Meyzonnat, G.; </w:t>
      </w:r>
      <w:proofErr w:type="spellStart"/>
      <w:r w:rsidRPr="004F190C">
        <w:rPr>
          <w:rFonts w:eastAsia="Times New Roman"/>
          <w:noProof w:val="0"/>
          <w:color w:val="auto"/>
          <w:sz w:val="18"/>
          <w:szCs w:val="18"/>
          <w:lang w:eastAsia="en-US"/>
        </w:rPr>
        <w:t>Barbecot</w:t>
      </w:r>
      <w:proofErr w:type="spellEnd"/>
      <w:r w:rsidRPr="004F190C">
        <w:rPr>
          <w:rFonts w:eastAsia="Times New Roman"/>
          <w:noProof w:val="0"/>
          <w:color w:val="auto"/>
          <w:sz w:val="18"/>
          <w:szCs w:val="18"/>
          <w:lang w:eastAsia="en-US"/>
        </w:rPr>
        <w:t xml:space="preserve">, F.; Alvarado, J.A.C.; Lauzon, J.-M.; McCormack, R.; </w:t>
      </w:r>
      <w:proofErr w:type="spellStart"/>
      <w:r w:rsidRPr="004F190C">
        <w:rPr>
          <w:rFonts w:eastAsia="Times New Roman"/>
          <w:noProof w:val="0"/>
          <w:color w:val="auto"/>
          <w:sz w:val="18"/>
          <w:szCs w:val="18"/>
          <w:lang w:eastAsia="en-US"/>
        </w:rPr>
        <w:t>Tognelli</w:t>
      </w:r>
      <w:proofErr w:type="spellEnd"/>
      <w:r w:rsidRPr="004F190C">
        <w:rPr>
          <w:rFonts w:eastAsia="Times New Roman"/>
          <w:noProof w:val="0"/>
          <w:color w:val="auto"/>
          <w:sz w:val="18"/>
          <w:szCs w:val="18"/>
          <w:lang w:eastAsia="en-US"/>
        </w:rPr>
        <w:t xml:space="preserve">, A.; </w:t>
      </w:r>
      <w:proofErr w:type="spellStart"/>
      <w:r w:rsidRPr="004F190C">
        <w:rPr>
          <w:rFonts w:eastAsia="Times New Roman"/>
          <w:noProof w:val="0"/>
          <w:color w:val="auto"/>
          <w:sz w:val="18"/>
          <w:szCs w:val="18"/>
          <w:lang w:eastAsia="en-US"/>
        </w:rPr>
        <w:t>Zeyen</w:t>
      </w:r>
      <w:proofErr w:type="spellEnd"/>
      <w:r w:rsidRPr="004F190C">
        <w:rPr>
          <w:rFonts w:eastAsia="Times New Roman"/>
          <w:noProof w:val="0"/>
          <w:color w:val="auto"/>
          <w:sz w:val="18"/>
          <w:szCs w:val="18"/>
          <w:lang w:eastAsia="en-US"/>
        </w:rPr>
        <w:t xml:space="preserve">, H.; Alazard, M. Borehole Heat Budget Calculator: A New Tool for the Quick Exploitation of High-Resolution Temperature Profiles by Hydrogeologists. </w:t>
      </w:r>
      <w:r w:rsidRPr="004F190C">
        <w:rPr>
          <w:rFonts w:eastAsia="Times New Roman"/>
          <w:i/>
          <w:iCs/>
          <w:noProof w:val="0"/>
          <w:color w:val="auto"/>
          <w:sz w:val="18"/>
          <w:szCs w:val="18"/>
          <w:lang w:eastAsia="en-US"/>
        </w:rPr>
        <w:t xml:space="preserve">J. Water </w:t>
      </w:r>
      <w:proofErr w:type="spellStart"/>
      <w:r w:rsidRPr="004F190C">
        <w:rPr>
          <w:rFonts w:eastAsia="Times New Roman"/>
          <w:i/>
          <w:iCs/>
          <w:noProof w:val="0"/>
          <w:color w:val="auto"/>
          <w:sz w:val="18"/>
          <w:szCs w:val="18"/>
          <w:lang w:eastAsia="en-US"/>
        </w:rPr>
        <w:t>Resour</w:t>
      </w:r>
      <w:proofErr w:type="spellEnd"/>
      <w:r w:rsidRPr="004F190C">
        <w:rPr>
          <w:rFonts w:eastAsia="Times New Roman"/>
          <w:i/>
          <w:iCs/>
          <w:noProof w:val="0"/>
          <w:color w:val="auto"/>
          <w:sz w:val="18"/>
          <w:szCs w:val="18"/>
          <w:lang w:eastAsia="en-US"/>
        </w:rPr>
        <w:t>. Prot.</w:t>
      </w:r>
      <w:r w:rsidRPr="004F190C">
        <w:rPr>
          <w:rFonts w:eastAsia="Times New Roman"/>
          <w:noProof w:val="0"/>
          <w:color w:val="auto"/>
          <w:sz w:val="18"/>
          <w:szCs w:val="18"/>
          <w:lang w:eastAsia="en-US"/>
        </w:rPr>
        <w:t xml:space="preserve"> </w:t>
      </w:r>
      <w:r w:rsidRPr="004F190C">
        <w:rPr>
          <w:rFonts w:eastAsia="Times New Roman"/>
          <w:b/>
          <w:bCs/>
          <w:noProof w:val="0"/>
          <w:color w:val="auto"/>
          <w:sz w:val="18"/>
          <w:szCs w:val="18"/>
          <w:lang w:eastAsia="en-US"/>
        </w:rPr>
        <w:t>2019</w:t>
      </w:r>
      <w:r w:rsidRPr="004F190C">
        <w:rPr>
          <w:rFonts w:eastAsia="Times New Roman"/>
          <w:bCs/>
          <w:noProof w:val="0"/>
          <w:color w:val="auto"/>
          <w:sz w:val="18"/>
          <w:szCs w:val="18"/>
          <w:lang w:eastAsia="en-US"/>
        </w:rPr>
        <w:t xml:space="preserve">, </w:t>
      </w:r>
      <w:r w:rsidRPr="004F190C">
        <w:rPr>
          <w:rFonts w:eastAsia="Times New Roman"/>
          <w:bCs/>
          <w:i/>
          <w:noProof w:val="0"/>
          <w:color w:val="auto"/>
          <w:sz w:val="18"/>
          <w:szCs w:val="18"/>
          <w:lang w:eastAsia="en-US"/>
        </w:rPr>
        <w:t>11</w:t>
      </w:r>
      <w:r w:rsidRPr="004F190C">
        <w:rPr>
          <w:rFonts w:eastAsia="Times New Roman"/>
          <w:bCs/>
          <w:noProof w:val="0"/>
          <w:color w:val="auto"/>
          <w:sz w:val="18"/>
          <w:szCs w:val="18"/>
          <w:lang w:eastAsia="en-US"/>
        </w:rPr>
        <w:t>, 122–147</w:t>
      </w:r>
      <w:r w:rsidRPr="004F190C">
        <w:rPr>
          <w:rFonts w:eastAsia="Times New Roman"/>
          <w:noProof w:val="0"/>
          <w:color w:val="auto"/>
          <w:sz w:val="18"/>
          <w:szCs w:val="18"/>
          <w:lang w:eastAsia="en-US"/>
        </w:rPr>
        <w:t>, doi:10.4236/jwarp.2019.112008.</w:t>
      </w:r>
    </w:p>
    <w:p w14:paraId="5AF4173E"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4F190C">
        <w:rPr>
          <w:rFonts w:eastAsia="Times New Roman"/>
          <w:noProof w:val="0"/>
          <w:color w:val="auto"/>
          <w:sz w:val="18"/>
          <w:szCs w:val="18"/>
          <w:lang w:eastAsia="en-US"/>
        </w:rPr>
        <w:t xml:space="preserve">Stumm, W.; Morgan, J.J. </w:t>
      </w:r>
      <w:r w:rsidRPr="004F190C">
        <w:rPr>
          <w:rFonts w:eastAsia="Times New Roman"/>
          <w:i/>
          <w:iCs/>
          <w:noProof w:val="0"/>
          <w:color w:val="auto"/>
          <w:sz w:val="18"/>
          <w:szCs w:val="18"/>
          <w:lang w:eastAsia="en-US"/>
        </w:rPr>
        <w:t>Aquatic Chemistry: Chemical Equilibria and Rates in Natural Waters</w:t>
      </w:r>
      <w:r w:rsidRPr="004F190C">
        <w:rPr>
          <w:rFonts w:eastAsia="Times New Roman"/>
          <w:noProof w:val="0"/>
          <w:color w:val="auto"/>
          <w:sz w:val="18"/>
          <w:szCs w:val="18"/>
          <w:lang w:eastAsia="en-US"/>
        </w:rPr>
        <w:t>, 3rd ed.; John Wiley &amp; Sons, Inc: New York, NY, USA, 1996; p. 1022.</w:t>
      </w:r>
    </w:p>
    <w:p w14:paraId="612C97DD"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4F190C">
        <w:rPr>
          <w:rFonts w:eastAsia="Times New Roman"/>
          <w:noProof w:val="0"/>
          <w:color w:val="auto"/>
          <w:sz w:val="18"/>
          <w:szCs w:val="18"/>
          <w:lang w:eastAsia="en-US"/>
        </w:rPr>
        <w:t>Zogzas</w:t>
      </w:r>
      <w:proofErr w:type="spellEnd"/>
      <w:r w:rsidRPr="004F190C">
        <w:rPr>
          <w:rFonts w:eastAsia="Times New Roman"/>
          <w:noProof w:val="0"/>
          <w:color w:val="auto"/>
          <w:sz w:val="18"/>
          <w:szCs w:val="18"/>
          <w:lang w:eastAsia="en-US"/>
        </w:rPr>
        <w:t xml:space="preserve">, N.; </w:t>
      </w:r>
      <w:proofErr w:type="spellStart"/>
      <w:r w:rsidRPr="004F190C">
        <w:rPr>
          <w:rFonts w:eastAsia="Times New Roman"/>
          <w:noProof w:val="0"/>
          <w:color w:val="auto"/>
          <w:sz w:val="18"/>
          <w:szCs w:val="18"/>
          <w:lang w:eastAsia="en-US"/>
        </w:rPr>
        <w:t>Maroulis</w:t>
      </w:r>
      <w:proofErr w:type="spellEnd"/>
      <w:r w:rsidRPr="004F190C">
        <w:rPr>
          <w:rFonts w:eastAsia="Times New Roman"/>
          <w:noProof w:val="0"/>
          <w:color w:val="auto"/>
          <w:sz w:val="18"/>
          <w:szCs w:val="18"/>
          <w:lang w:eastAsia="en-US"/>
        </w:rPr>
        <w:t xml:space="preserve">, Z. Effective Moisture Diffusivity Estimation from Drying Data. A Comparison Between Various Methods of Analysis. </w:t>
      </w:r>
      <w:r w:rsidRPr="004F190C">
        <w:rPr>
          <w:rFonts w:eastAsia="Times New Roman"/>
          <w:i/>
          <w:iCs/>
          <w:noProof w:val="0"/>
          <w:color w:val="auto"/>
          <w:sz w:val="18"/>
          <w:szCs w:val="18"/>
          <w:lang w:eastAsia="en-US"/>
        </w:rPr>
        <w:t>Dry. Technol.</w:t>
      </w:r>
      <w:r w:rsidRPr="004F190C">
        <w:rPr>
          <w:rFonts w:eastAsia="Times New Roman"/>
          <w:noProof w:val="0"/>
          <w:color w:val="auto"/>
          <w:sz w:val="18"/>
          <w:szCs w:val="18"/>
          <w:lang w:eastAsia="en-US"/>
        </w:rPr>
        <w:t xml:space="preserve"> </w:t>
      </w:r>
      <w:r w:rsidRPr="004F190C">
        <w:rPr>
          <w:rFonts w:eastAsia="Times New Roman"/>
          <w:b/>
          <w:bCs/>
          <w:noProof w:val="0"/>
          <w:color w:val="auto"/>
          <w:sz w:val="18"/>
          <w:szCs w:val="18"/>
          <w:lang w:eastAsia="en-US"/>
        </w:rPr>
        <w:t>1996</w:t>
      </w:r>
      <w:r w:rsidRPr="004F190C">
        <w:rPr>
          <w:rFonts w:eastAsia="Times New Roman"/>
          <w:bCs/>
          <w:noProof w:val="0"/>
          <w:color w:val="auto"/>
          <w:sz w:val="18"/>
          <w:szCs w:val="18"/>
          <w:lang w:eastAsia="en-US"/>
        </w:rPr>
        <w:t xml:space="preserve">, </w:t>
      </w:r>
      <w:r w:rsidRPr="004F190C">
        <w:rPr>
          <w:rFonts w:eastAsia="Times New Roman"/>
          <w:bCs/>
          <w:i/>
          <w:noProof w:val="0"/>
          <w:color w:val="auto"/>
          <w:sz w:val="18"/>
          <w:szCs w:val="18"/>
          <w:lang w:eastAsia="en-US"/>
        </w:rPr>
        <w:t>14</w:t>
      </w:r>
      <w:r w:rsidRPr="004F190C">
        <w:rPr>
          <w:rFonts w:eastAsia="Times New Roman"/>
          <w:bCs/>
          <w:noProof w:val="0"/>
          <w:color w:val="auto"/>
          <w:sz w:val="18"/>
          <w:szCs w:val="18"/>
          <w:lang w:eastAsia="en-US"/>
        </w:rPr>
        <w:t>, 1543–1573</w:t>
      </w:r>
      <w:r w:rsidRPr="004F190C">
        <w:rPr>
          <w:rFonts w:eastAsia="Times New Roman"/>
          <w:noProof w:val="0"/>
          <w:color w:val="auto"/>
          <w:sz w:val="18"/>
          <w:szCs w:val="18"/>
          <w:lang w:eastAsia="en-US"/>
        </w:rPr>
        <w:t>, doi:10.1080/07373939608917163.</w:t>
      </w:r>
    </w:p>
    <w:p w14:paraId="06CADA2C"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4F190C">
        <w:rPr>
          <w:rFonts w:eastAsia="Times New Roman"/>
          <w:noProof w:val="0"/>
          <w:color w:val="auto"/>
          <w:sz w:val="18"/>
          <w:szCs w:val="18"/>
          <w:lang w:eastAsia="en-US"/>
        </w:rPr>
        <w:t xml:space="preserve">Ogata, A.; Banks, R.B. </w:t>
      </w:r>
      <w:r w:rsidRPr="004F190C">
        <w:rPr>
          <w:rFonts w:eastAsia="Times New Roman"/>
          <w:i/>
          <w:iCs/>
          <w:noProof w:val="0"/>
          <w:color w:val="auto"/>
          <w:sz w:val="18"/>
          <w:szCs w:val="18"/>
          <w:lang w:eastAsia="en-US"/>
        </w:rPr>
        <w:t>A solution of the Differential Equation of Longitudinal Dispersion in Porous Media: Fluid Movement in Earth Materials</w:t>
      </w:r>
      <w:r w:rsidRPr="004F190C">
        <w:rPr>
          <w:rFonts w:eastAsia="Times New Roman"/>
          <w:noProof w:val="0"/>
          <w:color w:val="auto"/>
          <w:sz w:val="18"/>
          <w:szCs w:val="18"/>
          <w:lang w:eastAsia="en-US"/>
        </w:rPr>
        <w:t>; US Government Printing Office: Washington, DC, USA, 1961.</w:t>
      </w:r>
    </w:p>
    <w:p w14:paraId="2F207824"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4F190C">
        <w:rPr>
          <w:rFonts w:eastAsia="Times New Roman"/>
          <w:noProof w:val="0"/>
          <w:color w:val="auto"/>
          <w:sz w:val="18"/>
          <w:szCs w:val="18"/>
          <w:lang w:eastAsia="en-US"/>
        </w:rPr>
        <w:t>Spitler</w:t>
      </w:r>
      <w:proofErr w:type="spellEnd"/>
      <w:r w:rsidRPr="004F190C">
        <w:rPr>
          <w:rFonts w:eastAsia="Times New Roman"/>
          <w:noProof w:val="0"/>
          <w:color w:val="auto"/>
          <w:sz w:val="18"/>
          <w:szCs w:val="18"/>
          <w:lang w:eastAsia="en-US"/>
        </w:rPr>
        <w:t xml:space="preserve">, J.D.; </w:t>
      </w:r>
      <w:proofErr w:type="spellStart"/>
      <w:r w:rsidRPr="004F190C">
        <w:rPr>
          <w:rFonts w:eastAsia="Times New Roman"/>
          <w:noProof w:val="0"/>
          <w:color w:val="auto"/>
          <w:sz w:val="18"/>
          <w:szCs w:val="18"/>
          <w:lang w:eastAsia="en-US"/>
        </w:rPr>
        <w:t>Javed</w:t>
      </w:r>
      <w:proofErr w:type="spellEnd"/>
      <w:r w:rsidRPr="004F190C">
        <w:rPr>
          <w:rFonts w:eastAsia="Times New Roman"/>
          <w:noProof w:val="0"/>
          <w:color w:val="auto"/>
          <w:sz w:val="18"/>
          <w:szCs w:val="18"/>
          <w:lang w:eastAsia="en-US"/>
        </w:rPr>
        <w:t xml:space="preserve">, S.; Ramstad, R.K. Natural convection in groundwater-filled boreholes used as ground heat exchangers. </w:t>
      </w:r>
      <w:r w:rsidRPr="004F190C">
        <w:rPr>
          <w:rFonts w:eastAsia="Times New Roman"/>
          <w:i/>
          <w:iCs/>
          <w:noProof w:val="0"/>
          <w:color w:val="auto"/>
          <w:sz w:val="18"/>
          <w:szCs w:val="18"/>
          <w:lang w:eastAsia="en-US"/>
        </w:rPr>
        <w:t>Appl. Energy</w:t>
      </w:r>
      <w:r w:rsidRPr="004F190C">
        <w:rPr>
          <w:rFonts w:eastAsia="Times New Roman"/>
          <w:noProof w:val="0"/>
          <w:color w:val="auto"/>
          <w:sz w:val="18"/>
          <w:szCs w:val="18"/>
          <w:lang w:eastAsia="en-US"/>
        </w:rPr>
        <w:t xml:space="preserve"> </w:t>
      </w:r>
      <w:r w:rsidRPr="004F190C">
        <w:rPr>
          <w:rFonts w:eastAsia="Times New Roman"/>
          <w:b/>
          <w:bCs/>
          <w:noProof w:val="0"/>
          <w:color w:val="auto"/>
          <w:sz w:val="18"/>
          <w:szCs w:val="18"/>
          <w:lang w:eastAsia="en-US"/>
        </w:rPr>
        <w:t>2016</w:t>
      </w:r>
      <w:r w:rsidRPr="004F190C">
        <w:rPr>
          <w:rFonts w:eastAsia="Times New Roman"/>
          <w:bCs/>
          <w:noProof w:val="0"/>
          <w:color w:val="auto"/>
          <w:sz w:val="18"/>
          <w:szCs w:val="18"/>
          <w:lang w:eastAsia="en-US"/>
        </w:rPr>
        <w:t xml:space="preserve">, </w:t>
      </w:r>
      <w:r w:rsidRPr="004F190C">
        <w:rPr>
          <w:rFonts w:eastAsia="Times New Roman"/>
          <w:bCs/>
          <w:i/>
          <w:noProof w:val="0"/>
          <w:color w:val="auto"/>
          <w:sz w:val="18"/>
          <w:szCs w:val="18"/>
          <w:lang w:eastAsia="en-US"/>
        </w:rPr>
        <w:t>164</w:t>
      </w:r>
      <w:r w:rsidRPr="004F190C">
        <w:rPr>
          <w:rFonts w:eastAsia="Times New Roman"/>
          <w:bCs/>
          <w:noProof w:val="0"/>
          <w:color w:val="auto"/>
          <w:sz w:val="18"/>
          <w:szCs w:val="18"/>
          <w:lang w:eastAsia="en-US"/>
        </w:rPr>
        <w:t>, 352–365</w:t>
      </w:r>
      <w:r w:rsidRPr="004F190C">
        <w:rPr>
          <w:rFonts w:eastAsia="Times New Roman"/>
          <w:noProof w:val="0"/>
          <w:color w:val="auto"/>
          <w:sz w:val="18"/>
          <w:szCs w:val="18"/>
          <w:lang w:eastAsia="en-US"/>
        </w:rPr>
        <w:t xml:space="preserve">, </w:t>
      </w:r>
      <w:proofErr w:type="gramStart"/>
      <w:r w:rsidRPr="004F190C">
        <w:rPr>
          <w:rFonts w:eastAsia="Times New Roman"/>
          <w:noProof w:val="0"/>
          <w:color w:val="auto"/>
          <w:sz w:val="18"/>
          <w:szCs w:val="18"/>
          <w:lang w:eastAsia="en-US"/>
        </w:rPr>
        <w:t>doi:10.1016/j.apenergy</w:t>
      </w:r>
      <w:proofErr w:type="gramEnd"/>
      <w:r w:rsidRPr="004F190C">
        <w:rPr>
          <w:rFonts w:eastAsia="Times New Roman"/>
          <w:noProof w:val="0"/>
          <w:color w:val="auto"/>
          <w:sz w:val="18"/>
          <w:szCs w:val="18"/>
          <w:lang w:eastAsia="en-US"/>
        </w:rPr>
        <w:t>.2015.11.041.</w:t>
      </w:r>
    </w:p>
    <w:p w14:paraId="0BADD2BA" w14:textId="44E7AB70"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val="fr-FR" w:eastAsia="en-US"/>
        </w:rPr>
      </w:pPr>
      <w:r w:rsidRPr="004F190C">
        <w:rPr>
          <w:rFonts w:eastAsia="Times New Roman"/>
          <w:noProof w:val="0"/>
          <w:color w:val="auto"/>
          <w:sz w:val="18"/>
          <w:szCs w:val="18"/>
          <w:lang w:val="fr-FR" w:eastAsia="en-US"/>
        </w:rPr>
        <w:t xml:space="preserve">Larocque, </w:t>
      </w:r>
      <w:proofErr w:type="gramStart"/>
      <w:r w:rsidRPr="004F190C">
        <w:rPr>
          <w:rFonts w:eastAsia="Times New Roman"/>
          <w:noProof w:val="0"/>
          <w:color w:val="auto"/>
          <w:sz w:val="18"/>
          <w:szCs w:val="18"/>
          <w:lang w:val="fr-FR" w:eastAsia="en-US"/>
        </w:rPr>
        <w:t>M.;</w:t>
      </w:r>
      <w:proofErr w:type="gramEnd"/>
      <w:r w:rsidRPr="004F190C">
        <w:rPr>
          <w:rFonts w:eastAsia="Times New Roman"/>
          <w:noProof w:val="0"/>
          <w:color w:val="auto"/>
          <w:sz w:val="18"/>
          <w:szCs w:val="18"/>
          <w:lang w:val="fr-FR" w:eastAsia="en-US"/>
        </w:rPr>
        <w:t xml:space="preserve"> Meyzonnat, G.; </w:t>
      </w:r>
      <w:proofErr w:type="spellStart"/>
      <w:r w:rsidRPr="004F190C">
        <w:rPr>
          <w:rFonts w:eastAsia="Times New Roman"/>
          <w:noProof w:val="0"/>
          <w:color w:val="auto"/>
          <w:sz w:val="18"/>
          <w:szCs w:val="18"/>
          <w:lang w:val="fr-FR" w:eastAsia="en-US"/>
        </w:rPr>
        <w:t>Barnetche</w:t>
      </w:r>
      <w:proofErr w:type="spellEnd"/>
      <w:r w:rsidRPr="004F190C">
        <w:rPr>
          <w:rFonts w:eastAsia="Times New Roman"/>
          <w:noProof w:val="0"/>
          <w:color w:val="auto"/>
          <w:sz w:val="18"/>
          <w:szCs w:val="18"/>
          <w:lang w:val="fr-FR" w:eastAsia="en-US"/>
        </w:rPr>
        <w:t xml:space="preserve">, D.; </w:t>
      </w:r>
      <w:proofErr w:type="spellStart"/>
      <w:r w:rsidRPr="004F190C">
        <w:rPr>
          <w:rFonts w:eastAsia="Times New Roman"/>
          <w:noProof w:val="0"/>
          <w:color w:val="auto"/>
          <w:sz w:val="18"/>
          <w:szCs w:val="18"/>
          <w:lang w:val="fr-FR" w:eastAsia="en-US"/>
        </w:rPr>
        <w:t>Graveline</w:t>
      </w:r>
      <w:proofErr w:type="spellEnd"/>
      <w:r w:rsidRPr="004F190C">
        <w:rPr>
          <w:rFonts w:eastAsia="Times New Roman"/>
          <w:noProof w:val="0"/>
          <w:color w:val="auto"/>
          <w:sz w:val="18"/>
          <w:szCs w:val="18"/>
          <w:lang w:val="fr-FR" w:eastAsia="en-US"/>
        </w:rPr>
        <w:t xml:space="preserve">, M.; Ouellet, M. </w:t>
      </w:r>
      <w:r w:rsidRPr="004F190C">
        <w:rPr>
          <w:rFonts w:eastAsia="Times New Roman"/>
          <w:i/>
          <w:iCs/>
          <w:noProof w:val="0"/>
          <w:color w:val="auto"/>
          <w:sz w:val="18"/>
          <w:szCs w:val="18"/>
          <w:lang w:val="fr-FR" w:eastAsia="en-US"/>
        </w:rPr>
        <w:t xml:space="preserve">Projet de Connaissance des Eaux Souterraines de la Zone de Vaudreuil–Soulanges—Rapport Scientifique. Rapport Déposé au Ministère du Développement Durable, de l’Environnement et de la Lutte Contre les Changements </w:t>
      </w:r>
      <w:proofErr w:type="gramStart"/>
      <w:r w:rsidRPr="004F190C">
        <w:rPr>
          <w:rFonts w:eastAsia="Times New Roman"/>
          <w:i/>
          <w:iCs/>
          <w:noProof w:val="0"/>
          <w:color w:val="auto"/>
          <w:sz w:val="18"/>
          <w:szCs w:val="18"/>
          <w:lang w:val="fr-FR" w:eastAsia="en-US"/>
        </w:rPr>
        <w:t>Climatiques</w:t>
      </w:r>
      <w:r w:rsidRPr="004F190C">
        <w:rPr>
          <w:rFonts w:eastAsia="Times New Roman"/>
          <w:noProof w:val="0"/>
          <w:color w:val="auto"/>
          <w:sz w:val="18"/>
          <w:szCs w:val="18"/>
          <w:lang w:val="fr-FR" w:eastAsia="en-US"/>
        </w:rPr>
        <w:t>;</w:t>
      </w:r>
      <w:proofErr w:type="gramEnd"/>
      <w:r w:rsidR="00DD2051" w:rsidRPr="004F190C">
        <w:rPr>
          <w:rFonts w:eastAsia="Times New Roman"/>
          <w:noProof w:val="0"/>
          <w:color w:val="auto"/>
          <w:sz w:val="18"/>
          <w:szCs w:val="18"/>
          <w:lang w:val="fr-FR" w:eastAsia="en-US"/>
        </w:rPr>
        <w:t xml:space="preserve"> Université du Québec à Montréal, Québec, Canada,</w:t>
      </w:r>
      <w:r w:rsidRPr="004F190C">
        <w:rPr>
          <w:rFonts w:eastAsia="Times New Roman"/>
          <w:noProof w:val="0"/>
          <w:color w:val="auto"/>
          <w:sz w:val="18"/>
          <w:szCs w:val="18"/>
          <w:lang w:val="fr-FR" w:eastAsia="en-US"/>
        </w:rPr>
        <w:t xml:space="preserve"> 2015; p. 202.</w:t>
      </w:r>
    </w:p>
    <w:p w14:paraId="2679CE49" w14:textId="08471DC4"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val="fr-FR" w:eastAsia="en-US"/>
        </w:rPr>
      </w:pPr>
      <w:r w:rsidRPr="004F190C">
        <w:rPr>
          <w:rFonts w:eastAsia="Times New Roman"/>
          <w:noProof w:val="0"/>
          <w:color w:val="auto"/>
          <w:sz w:val="18"/>
          <w:szCs w:val="18"/>
          <w:lang w:val="fr-FR" w:eastAsia="en-US"/>
        </w:rPr>
        <w:t>Carrier, M.–</w:t>
      </w:r>
      <w:proofErr w:type="gramStart"/>
      <w:r w:rsidRPr="004F190C">
        <w:rPr>
          <w:rFonts w:eastAsia="Times New Roman"/>
          <w:noProof w:val="0"/>
          <w:color w:val="auto"/>
          <w:sz w:val="18"/>
          <w:szCs w:val="18"/>
          <w:lang w:val="fr-FR" w:eastAsia="en-US"/>
        </w:rPr>
        <w:t>A.;</w:t>
      </w:r>
      <w:proofErr w:type="gramEnd"/>
      <w:r w:rsidRPr="004F190C">
        <w:rPr>
          <w:rFonts w:eastAsia="Times New Roman"/>
          <w:noProof w:val="0"/>
          <w:color w:val="auto"/>
          <w:sz w:val="18"/>
          <w:szCs w:val="18"/>
          <w:lang w:val="fr-FR" w:eastAsia="en-US"/>
        </w:rPr>
        <w:t xml:space="preserve"> Lefebvre, R.; Rivard, C.; Parent, M.; Ballard, J.–M.; Benoit, N.; Vigneault, H.; Beaudry, C.; Malet, X.; Lauren-celle, M.; et al. Portrait des ressources en eau souterraine en Montérégie Est, Québec, Canada. In </w:t>
      </w:r>
      <w:r w:rsidRPr="004F190C">
        <w:rPr>
          <w:rFonts w:eastAsia="Times New Roman"/>
          <w:i/>
          <w:iCs/>
          <w:noProof w:val="0"/>
          <w:color w:val="auto"/>
          <w:sz w:val="18"/>
          <w:szCs w:val="18"/>
          <w:lang w:val="fr-FR" w:eastAsia="en-US"/>
        </w:rPr>
        <w:t xml:space="preserve">Projet Réalisé Conjointement par l’INRS, la CGC, l’OBV Yamaska et l’IRDA dans le Cadre du Programme d’Acquisition de Connaissances sur les Eaux </w:t>
      </w:r>
      <w:proofErr w:type="gramStart"/>
      <w:r w:rsidRPr="004F190C">
        <w:rPr>
          <w:rFonts w:eastAsia="Times New Roman"/>
          <w:i/>
          <w:iCs/>
          <w:noProof w:val="0"/>
          <w:color w:val="auto"/>
          <w:sz w:val="18"/>
          <w:szCs w:val="18"/>
          <w:lang w:val="fr-FR" w:eastAsia="en-US"/>
        </w:rPr>
        <w:t>Souterraines</w:t>
      </w:r>
      <w:r w:rsidRPr="004F190C">
        <w:rPr>
          <w:rFonts w:eastAsia="Times New Roman"/>
          <w:noProof w:val="0"/>
          <w:color w:val="auto"/>
          <w:sz w:val="18"/>
          <w:szCs w:val="18"/>
          <w:lang w:val="fr-FR" w:eastAsia="en-US"/>
        </w:rPr>
        <w:t>;</w:t>
      </w:r>
      <w:proofErr w:type="gramEnd"/>
      <w:r w:rsidRPr="004F190C">
        <w:rPr>
          <w:rFonts w:eastAsia="Times New Roman"/>
          <w:noProof w:val="0"/>
          <w:color w:val="auto"/>
          <w:sz w:val="18"/>
          <w:szCs w:val="18"/>
          <w:lang w:val="fr-FR" w:eastAsia="en-US"/>
        </w:rPr>
        <w:t xml:space="preserve"> Rapport final INRS R–1433; </w:t>
      </w:r>
      <w:r w:rsidR="00DD2051" w:rsidRPr="004F190C">
        <w:rPr>
          <w:rFonts w:eastAsia="Times New Roman"/>
          <w:noProof w:val="0"/>
          <w:color w:val="auto"/>
          <w:sz w:val="18"/>
          <w:szCs w:val="18"/>
          <w:lang w:val="fr-FR" w:eastAsia="en-US"/>
        </w:rPr>
        <w:t>Institut national de la recherche scientifique, Québec, Canada</w:t>
      </w:r>
      <w:r w:rsidRPr="004F190C">
        <w:rPr>
          <w:rFonts w:eastAsia="Times New Roman"/>
          <w:noProof w:val="0"/>
          <w:color w:val="auto"/>
          <w:sz w:val="18"/>
          <w:szCs w:val="18"/>
          <w:lang w:val="fr-FR" w:eastAsia="en-US"/>
        </w:rPr>
        <w:t>, 2013; p. 319.</w:t>
      </w:r>
    </w:p>
    <w:p w14:paraId="29EBA083"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4F190C">
        <w:rPr>
          <w:rFonts w:eastAsia="Times New Roman"/>
          <w:noProof w:val="0"/>
          <w:color w:val="auto"/>
          <w:sz w:val="18"/>
          <w:szCs w:val="18"/>
          <w:lang w:eastAsia="en-US"/>
        </w:rPr>
        <w:t xml:space="preserve">Gillon, M.; </w:t>
      </w:r>
      <w:proofErr w:type="spellStart"/>
      <w:r w:rsidRPr="004F190C">
        <w:rPr>
          <w:rFonts w:eastAsia="Times New Roman"/>
          <w:noProof w:val="0"/>
          <w:color w:val="auto"/>
          <w:sz w:val="18"/>
          <w:szCs w:val="18"/>
          <w:lang w:eastAsia="en-US"/>
        </w:rPr>
        <w:t>Barbecot</w:t>
      </w:r>
      <w:proofErr w:type="spellEnd"/>
      <w:r w:rsidRPr="004F190C">
        <w:rPr>
          <w:rFonts w:eastAsia="Times New Roman"/>
          <w:noProof w:val="0"/>
          <w:color w:val="auto"/>
          <w:sz w:val="18"/>
          <w:szCs w:val="18"/>
          <w:lang w:eastAsia="en-US"/>
        </w:rPr>
        <w:t xml:space="preserve">, F.; </w:t>
      </w:r>
      <w:proofErr w:type="spellStart"/>
      <w:r w:rsidRPr="004F190C">
        <w:rPr>
          <w:rFonts w:eastAsia="Times New Roman"/>
          <w:noProof w:val="0"/>
          <w:color w:val="auto"/>
          <w:sz w:val="18"/>
          <w:szCs w:val="18"/>
          <w:lang w:eastAsia="en-US"/>
        </w:rPr>
        <w:t>Gibert</w:t>
      </w:r>
      <w:proofErr w:type="spellEnd"/>
      <w:r w:rsidRPr="004F190C">
        <w:rPr>
          <w:rFonts w:eastAsia="Times New Roman"/>
          <w:noProof w:val="0"/>
          <w:color w:val="auto"/>
          <w:sz w:val="18"/>
          <w:szCs w:val="18"/>
          <w:lang w:eastAsia="en-US"/>
        </w:rPr>
        <w:t xml:space="preserve">, E.; Plain, C.; Alvarado, J.A.C.; </w:t>
      </w:r>
      <w:proofErr w:type="spellStart"/>
      <w:r w:rsidRPr="004F190C">
        <w:rPr>
          <w:rFonts w:eastAsia="Times New Roman"/>
          <w:noProof w:val="0"/>
          <w:color w:val="auto"/>
          <w:sz w:val="18"/>
          <w:szCs w:val="18"/>
          <w:lang w:eastAsia="en-US"/>
        </w:rPr>
        <w:t>Massault</w:t>
      </w:r>
      <w:proofErr w:type="spellEnd"/>
      <w:r w:rsidRPr="004F190C">
        <w:rPr>
          <w:rFonts w:eastAsia="Times New Roman"/>
          <w:noProof w:val="0"/>
          <w:color w:val="auto"/>
          <w:sz w:val="18"/>
          <w:szCs w:val="18"/>
          <w:lang w:eastAsia="en-US"/>
        </w:rPr>
        <w:t xml:space="preserve">, M. Controls on 13C and 14C variability in soil C2. </w:t>
      </w:r>
      <w:proofErr w:type="spellStart"/>
      <w:r w:rsidRPr="004F190C">
        <w:rPr>
          <w:rFonts w:eastAsia="Times New Roman"/>
          <w:i/>
          <w:iCs/>
          <w:noProof w:val="0"/>
          <w:color w:val="auto"/>
          <w:sz w:val="18"/>
          <w:szCs w:val="18"/>
          <w:lang w:eastAsia="en-US"/>
        </w:rPr>
        <w:t>Geoderma</w:t>
      </w:r>
      <w:proofErr w:type="spellEnd"/>
      <w:r w:rsidRPr="004F190C">
        <w:rPr>
          <w:rFonts w:eastAsia="Times New Roman"/>
          <w:noProof w:val="0"/>
          <w:color w:val="auto"/>
          <w:sz w:val="18"/>
          <w:szCs w:val="18"/>
          <w:lang w:eastAsia="en-US"/>
        </w:rPr>
        <w:t xml:space="preserve"> </w:t>
      </w:r>
      <w:r w:rsidRPr="004F190C">
        <w:rPr>
          <w:rFonts w:eastAsia="Times New Roman"/>
          <w:b/>
          <w:bCs/>
          <w:noProof w:val="0"/>
          <w:color w:val="auto"/>
          <w:sz w:val="18"/>
          <w:szCs w:val="18"/>
          <w:lang w:eastAsia="en-US"/>
        </w:rPr>
        <w:t>2012</w:t>
      </w:r>
      <w:r w:rsidRPr="004F190C">
        <w:rPr>
          <w:rFonts w:eastAsia="Times New Roman"/>
          <w:noProof w:val="0"/>
          <w:color w:val="auto"/>
          <w:sz w:val="18"/>
          <w:szCs w:val="18"/>
          <w:lang w:eastAsia="en-US"/>
        </w:rPr>
        <w:t xml:space="preserve">, </w:t>
      </w:r>
      <w:r w:rsidRPr="004F190C">
        <w:rPr>
          <w:rFonts w:eastAsia="Times New Roman"/>
          <w:i/>
          <w:iCs/>
          <w:noProof w:val="0"/>
          <w:color w:val="auto"/>
          <w:sz w:val="18"/>
          <w:szCs w:val="18"/>
          <w:lang w:eastAsia="en-US"/>
        </w:rPr>
        <w:t>189-190</w:t>
      </w:r>
      <w:r w:rsidRPr="004F190C">
        <w:rPr>
          <w:rFonts w:eastAsia="Times New Roman"/>
          <w:noProof w:val="0"/>
          <w:color w:val="auto"/>
          <w:sz w:val="18"/>
          <w:szCs w:val="18"/>
          <w:lang w:eastAsia="en-US"/>
        </w:rPr>
        <w:t xml:space="preserve">, 431–441, </w:t>
      </w:r>
      <w:proofErr w:type="gramStart"/>
      <w:r w:rsidRPr="004F190C">
        <w:rPr>
          <w:rFonts w:eastAsia="Times New Roman"/>
          <w:noProof w:val="0"/>
          <w:color w:val="auto"/>
          <w:sz w:val="18"/>
          <w:szCs w:val="18"/>
          <w:lang w:eastAsia="en-US"/>
        </w:rPr>
        <w:t>doi:10.1016/j.geoderma</w:t>
      </w:r>
      <w:proofErr w:type="gramEnd"/>
      <w:r w:rsidRPr="004F190C">
        <w:rPr>
          <w:rFonts w:eastAsia="Times New Roman"/>
          <w:noProof w:val="0"/>
          <w:color w:val="auto"/>
          <w:sz w:val="18"/>
          <w:szCs w:val="18"/>
          <w:lang w:eastAsia="en-US"/>
        </w:rPr>
        <w:t>.2012.06.004.</w:t>
      </w:r>
    </w:p>
    <w:p w14:paraId="4F797AD6"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4F190C">
        <w:rPr>
          <w:rFonts w:eastAsia="Times New Roman"/>
          <w:noProof w:val="0"/>
          <w:color w:val="auto"/>
          <w:sz w:val="18"/>
          <w:szCs w:val="18"/>
          <w:lang w:eastAsia="en-US"/>
        </w:rPr>
        <w:t>Pinti</w:t>
      </w:r>
      <w:proofErr w:type="spellEnd"/>
      <w:r w:rsidRPr="004F190C">
        <w:rPr>
          <w:rFonts w:eastAsia="Times New Roman"/>
          <w:noProof w:val="0"/>
          <w:color w:val="auto"/>
          <w:sz w:val="18"/>
          <w:szCs w:val="18"/>
          <w:lang w:eastAsia="en-US"/>
        </w:rPr>
        <w:t xml:space="preserve">, D.L.; </w:t>
      </w:r>
      <w:proofErr w:type="spellStart"/>
      <w:r w:rsidRPr="004F190C">
        <w:rPr>
          <w:rFonts w:eastAsia="Times New Roman"/>
          <w:noProof w:val="0"/>
          <w:color w:val="auto"/>
          <w:sz w:val="18"/>
          <w:szCs w:val="18"/>
          <w:lang w:eastAsia="en-US"/>
        </w:rPr>
        <w:t>Béland</w:t>
      </w:r>
      <w:proofErr w:type="spellEnd"/>
      <w:r w:rsidRPr="004F190C">
        <w:rPr>
          <w:rFonts w:eastAsia="Times New Roman"/>
          <w:noProof w:val="0"/>
          <w:color w:val="auto"/>
          <w:sz w:val="18"/>
          <w:szCs w:val="18"/>
          <w:lang w:eastAsia="en-US"/>
        </w:rPr>
        <w:t xml:space="preserve">–Otis, C.; Tremblay, A.; Castro, M.C.; Hall, C.M.; </w:t>
      </w:r>
      <w:proofErr w:type="spellStart"/>
      <w:r w:rsidRPr="004F190C">
        <w:rPr>
          <w:rFonts w:eastAsia="Times New Roman"/>
          <w:noProof w:val="0"/>
          <w:color w:val="auto"/>
          <w:sz w:val="18"/>
          <w:szCs w:val="18"/>
          <w:lang w:eastAsia="en-US"/>
        </w:rPr>
        <w:t>Marcil</w:t>
      </w:r>
      <w:proofErr w:type="spellEnd"/>
      <w:r w:rsidRPr="004F190C">
        <w:rPr>
          <w:rFonts w:eastAsia="Times New Roman"/>
          <w:noProof w:val="0"/>
          <w:color w:val="auto"/>
          <w:sz w:val="18"/>
          <w:szCs w:val="18"/>
          <w:lang w:eastAsia="en-US"/>
        </w:rPr>
        <w:t xml:space="preserve">, J.S.; Lapointe, R. Fossil brines preserved in the St. Lawrence Lowlands, Québec, Canada as revealed by their chemistry and noble gas isotopes. </w:t>
      </w:r>
      <w:proofErr w:type="spellStart"/>
      <w:r w:rsidRPr="004F190C">
        <w:rPr>
          <w:rFonts w:eastAsia="Times New Roman"/>
          <w:i/>
          <w:iCs/>
          <w:noProof w:val="0"/>
          <w:color w:val="auto"/>
          <w:sz w:val="18"/>
          <w:szCs w:val="18"/>
          <w:lang w:eastAsia="en-US"/>
        </w:rPr>
        <w:t>Geochim</w:t>
      </w:r>
      <w:proofErr w:type="spellEnd"/>
      <w:r w:rsidRPr="004F190C">
        <w:rPr>
          <w:rFonts w:eastAsia="Times New Roman"/>
          <w:i/>
          <w:iCs/>
          <w:noProof w:val="0"/>
          <w:color w:val="auto"/>
          <w:sz w:val="18"/>
          <w:szCs w:val="18"/>
          <w:lang w:eastAsia="en-US"/>
        </w:rPr>
        <w:t xml:space="preserve">. </w:t>
      </w:r>
      <w:proofErr w:type="spellStart"/>
      <w:r w:rsidRPr="004F190C">
        <w:rPr>
          <w:rFonts w:eastAsia="Times New Roman"/>
          <w:i/>
          <w:iCs/>
          <w:noProof w:val="0"/>
          <w:color w:val="auto"/>
          <w:sz w:val="18"/>
          <w:szCs w:val="18"/>
          <w:lang w:eastAsia="en-US"/>
        </w:rPr>
        <w:t>Cosmochim</w:t>
      </w:r>
      <w:proofErr w:type="spellEnd"/>
      <w:r w:rsidRPr="004F190C">
        <w:rPr>
          <w:rFonts w:eastAsia="Times New Roman"/>
          <w:i/>
          <w:iCs/>
          <w:noProof w:val="0"/>
          <w:color w:val="auto"/>
          <w:sz w:val="18"/>
          <w:szCs w:val="18"/>
          <w:lang w:eastAsia="en-US"/>
        </w:rPr>
        <w:t>. Acta</w:t>
      </w:r>
      <w:r w:rsidRPr="004F190C">
        <w:rPr>
          <w:rFonts w:eastAsia="Times New Roman"/>
          <w:noProof w:val="0"/>
          <w:color w:val="auto"/>
          <w:sz w:val="18"/>
          <w:szCs w:val="18"/>
          <w:lang w:eastAsia="en-US"/>
        </w:rPr>
        <w:t xml:space="preserve"> </w:t>
      </w:r>
      <w:r w:rsidRPr="004F190C">
        <w:rPr>
          <w:rFonts w:eastAsia="Times New Roman"/>
          <w:b/>
          <w:noProof w:val="0"/>
          <w:color w:val="auto"/>
          <w:sz w:val="18"/>
          <w:szCs w:val="18"/>
          <w:lang w:eastAsia="en-US"/>
        </w:rPr>
        <w:t>2011</w:t>
      </w:r>
      <w:r w:rsidRPr="004F190C">
        <w:rPr>
          <w:rFonts w:eastAsia="Times New Roman"/>
          <w:noProof w:val="0"/>
          <w:color w:val="auto"/>
          <w:sz w:val="18"/>
          <w:szCs w:val="18"/>
          <w:lang w:eastAsia="en-US"/>
        </w:rPr>
        <w:t xml:space="preserve">, </w:t>
      </w:r>
      <w:r w:rsidRPr="004F190C">
        <w:rPr>
          <w:rFonts w:eastAsia="Times New Roman"/>
          <w:i/>
          <w:noProof w:val="0"/>
          <w:color w:val="auto"/>
          <w:sz w:val="18"/>
          <w:szCs w:val="18"/>
          <w:lang w:eastAsia="en-US"/>
        </w:rPr>
        <w:t>75</w:t>
      </w:r>
      <w:r w:rsidRPr="004F190C">
        <w:rPr>
          <w:rFonts w:eastAsia="Times New Roman"/>
          <w:noProof w:val="0"/>
          <w:color w:val="auto"/>
          <w:sz w:val="18"/>
          <w:szCs w:val="18"/>
          <w:lang w:eastAsia="en-US"/>
        </w:rPr>
        <w:t>, 4228–4243.</w:t>
      </w:r>
    </w:p>
    <w:p w14:paraId="026A34E5" w14:textId="4692986C"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4F190C">
        <w:rPr>
          <w:rFonts w:eastAsia="Times New Roman"/>
          <w:noProof w:val="0"/>
          <w:color w:val="auto"/>
          <w:sz w:val="18"/>
          <w:szCs w:val="18"/>
          <w:lang w:eastAsia="en-US"/>
        </w:rPr>
        <w:t xml:space="preserve">Garett, D.E. </w:t>
      </w:r>
      <w:r w:rsidRPr="004F190C">
        <w:rPr>
          <w:rFonts w:eastAsia="Times New Roman"/>
          <w:i/>
          <w:iCs/>
          <w:noProof w:val="0"/>
          <w:color w:val="auto"/>
          <w:sz w:val="18"/>
          <w:szCs w:val="18"/>
          <w:lang w:eastAsia="en-US"/>
        </w:rPr>
        <w:t>Handbook of Lithium and Natural Calcium Chloride</w:t>
      </w:r>
      <w:r w:rsidRPr="004F190C">
        <w:rPr>
          <w:rFonts w:eastAsia="Times New Roman"/>
          <w:noProof w:val="0"/>
          <w:color w:val="auto"/>
          <w:sz w:val="18"/>
          <w:szCs w:val="18"/>
          <w:lang w:eastAsia="en-US"/>
        </w:rPr>
        <w:t xml:space="preserve">; </w:t>
      </w:r>
      <w:r w:rsidR="00E1355B" w:rsidRPr="004F190C">
        <w:rPr>
          <w:rFonts w:eastAsia="Times New Roman"/>
          <w:noProof w:val="0"/>
          <w:color w:val="auto"/>
          <w:sz w:val="18"/>
          <w:szCs w:val="18"/>
          <w:lang w:eastAsia="en-US"/>
        </w:rPr>
        <w:t>Elsevier</w:t>
      </w:r>
      <w:r w:rsidR="00CE3D56" w:rsidRPr="004F190C">
        <w:rPr>
          <w:rFonts w:eastAsia="Times New Roman"/>
          <w:noProof w:val="0"/>
          <w:color w:val="auto"/>
          <w:sz w:val="18"/>
          <w:szCs w:val="18"/>
          <w:lang w:eastAsia="en-US"/>
        </w:rPr>
        <w:t xml:space="preserve"> Academic Press</w:t>
      </w:r>
      <w:r w:rsidR="00E1355B" w:rsidRPr="004F190C">
        <w:rPr>
          <w:rFonts w:eastAsia="Times New Roman"/>
          <w:noProof w:val="0"/>
          <w:color w:val="auto"/>
          <w:sz w:val="18"/>
          <w:szCs w:val="18"/>
          <w:lang w:eastAsia="en-US"/>
        </w:rPr>
        <w:t xml:space="preserve">, </w:t>
      </w:r>
      <w:r w:rsidRPr="004F190C">
        <w:rPr>
          <w:rFonts w:eastAsia="Times New Roman"/>
          <w:noProof w:val="0"/>
          <w:color w:val="auto"/>
          <w:sz w:val="18"/>
          <w:szCs w:val="18"/>
          <w:lang w:eastAsia="en-US"/>
        </w:rPr>
        <w:t>2004; doi:10.1016/B978–0–12–276152–2.X5035–X.</w:t>
      </w:r>
    </w:p>
    <w:p w14:paraId="3F7BDDCE"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4F190C">
        <w:rPr>
          <w:rFonts w:eastAsia="Times New Roman"/>
          <w:noProof w:val="0"/>
          <w:color w:val="auto"/>
          <w:sz w:val="18"/>
          <w:szCs w:val="18"/>
          <w:lang w:eastAsia="en-US"/>
        </w:rPr>
        <w:t xml:space="preserve">Garrett, D.E. </w:t>
      </w:r>
      <w:r w:rsidRPr="004F190C">
        <w:rPr>
          <w:rFonts w:eastAsia="Times New Roman"/>
          <w:i/>
          <w:iCs/>
          <w:noProof w:val="0"/>
          <w:color w:val="auto"/>
          <w:sz w:val="18"/>
          <w:szCs w:val="18"/>
          <w:lang w:eastAsia="en-US"/>
        </w:rPr>
        <w:t>Potash: Deposits, Processing, Properties and Uses</w:t>
      </w:r>
      <w:r w:rsidRPr="004F190C">
        <w:rPr>
          <w:rFonts w:eastAsia="Times New Roman"/>
          <w:noProof w:val="0"/>
          <w:color w:val="auto"/>
          <w:sz w:val="18"/>
          <w:szCs w:val="18"/>
          <w:lang w:eastAsia="en-US"/>
        </w:rPr>
        <w:t>; Chapman &amp; Hall: London, UK, 1996; p. 734.</w:t>
      </w:r>
    </w:p>
    <w:p w14:paraId="0DF8EC8D"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4F190C">
        <w:rPr>
          <w:rFonts w:eastAsia="Times New Roman"/>
          <w:noProof w:val="0"/>
          <w:color w:val="auto"/>
          <w:sz w:val="18"/>
          <w:szCs w:val="18"/>
          <w:lang w:val="fr-FR" w:eastAsia="en-US"/>
        </w:rPr>
        <w:t xml:space="preserve">Charbonneau, P. Sels de </w:t>
      </w:r>
      <w:proofErr w:type="gramStart"/>
      <w:r w:rsidRPr="004F190C">
        <w:rPr>
          <w:rFonts w:eastAsia="Times New Roman"/>
          <w:noProof w:val="0"/>
          <w:color w:val="auto"/>
          <w:sz w:val="18"/>
          <w:szCs w:val="18"/>
          <w:lang w:val="fr-FR" w:eastAsia="en-US"/>
        </w:rPr>
        <w:t>voirie:</w:t>
      </w:r>
      <w:proofErr w:type="gramEnd"/>
      <w:r w:rsidRPr="004F190C">
        <w:rPr>
          <w:rFonts w:eastAsia="Times New Roman"/>
          <w:noProof w:val="0"/>
          <w:color w:val="auto"/>
          <w:sz w:val="18"/>
          <w:szCs w:val="18"/>
          <w:lang w:val="fr-FR" w:eastAsia="en-US"/>
        </w:rPr>
        <w:t xml:space="preserve"> Une utilisation nécessaire mais lourde de conséquences. </w:t>
      </w:r>
      <w:r w:rsidRPr="004F190C">
        <w:rPr>
          <w:rFonts w:eastAsia="Times New Roman"/>
          <w:i/>
          <w:iCs/>
          <w:noProof w:val="0"/>
          <w:color w:val="auto"/>
          <w:sz w:val="18"/>
          <w:szCs w:val="18"/>
          <w:lang w:eastAsia="en-US"/>
        </w:rPr>
        <w:t xml:space="preserve">Nat. </w:t>
      </w:r>
      <w:proofErr w:type="spellStart"/>
      <w:r w:rsidRPr="004F190C">
        <w:rPr>
          <w:rFonts w:eastAsia="Times New Roman"/>
          <w:i/>
          <w:iCs/>
          <w:noProof w:val="0"/>
          <w:color w:val="auto"/>
          <w:sz w:val="18"/>
          <w:szCs w:val="18"/>
          <w:lang w:eastAsia="en-US"/>
        </w:rPr>
        <w:t>Canad</w:t>
      </w:r>
      <w:proofErr w:type="spellEnd"/>
      <w:r w:rsidRPr="004F190C">
        <w:rPr>
          <w:rFonts w:eastAsia="Times New Roman"/>
          <w:i/>
          <w:iCs/>
          <w:noProof w:val="0"/>
          <w:color w:val="auto"/>
          <w:sz w:val="18"/>
          <w:szCs w:val="18"/>
          <w:lang w:eastAsia="en-US"/>
        </w:rPr>
        <w:t>.</w:t>
      </w:r>
      <w:r w:rsidRPr="004F190C">
        <w:rPr>
          <w:rFonts w:eastAsia="Times New Roman"/>
          <w:noProof w:val="0"/>
          <w:color w:val="auto"/>
          <w:sz w:val="18"/>
          <w:szCs w:val="18"/>
          <w:lang w:eastAsia="en-US"/>
        </w:rPr>
        <w:t xml:space="preserve"> </w:t>
      </w:r>
      <w:r w:rsidRPr="004F190C">
        <w:rPr>
          <w:rFonts w:eastAsia="Times New Roman"/>
          <w:b/>
          <w:bCs/>
          <w:noProof w:val="0"/>
          <w:color w:val="auto"/>
          <w:sz w:val="18"/>
          <w:szCs w:val="18"/>
          <w:lang w:eastAsia="en-US"/>
        </w:rPr>
        <w:t>2006</w:t>
      </w:r>
      <w:r w:rsidRPr="004F190C">
        <w:rPr>
          <w:rFonts w:eastAsia="Times New Roman"/>
          <w:bCs/>
          <w:noProof w:val="0"/>
          <w:color w:val="auto"/>
          <w:sz w:val="18"/>
          <w:szCs w:val="18"/>
          <w:lang w:eastAsia="en-US"/>
        </w:rPr>
        <w:t xml:space="preserve">, </w:t>
      </w:r>
      <w:r w:rsidRPr="004F190C">
        <w:rPr>
          <w:rFonts w:eastAsia="Times New Roman"/>
          <w:bCs/>
          <w:i/>
          <w:noProof w:val="0"/>
          <w:color w:val="auto"/>
          <w:sz w:val="18"/>
          <w:szCs w:val="18"/>
          <w:lang w:eastAsia="en-US"/>
        </w:rPr>
        <w:t>130</w:t>
      </w:r>
      <w:r w:rsidRPr="004F190C">
        <w:rPr>
          <w:rFonts w:eastAsia="Times New Roman"/>
          <w:bCs/>
          <w:noProof w:val="0"/>
          <w:color w:val="auto"/>
          <w:sz w:val="18"/>
          <w:szCs w:val="18"/>
          <w:lang w:eastAsia="en-US"/>
        </w:rPr>
        <w:t>, 75–81</w:t>
      </w:r>
      <w:r w:rsidRPr="004F190C">
        <w:rPr>
          <w:rFonts w:eastAsia="Times New Roman"/>
          <w:noProof w:val="0"/>
          <w:color w:val="auto"/>
          <w:sz w:val="18"/>
          <w:szCs w:val="18"/>
          <w:lang w:eastAsia="en-US"/>
        </w:rPr>
        <w:t>.</w:t>
      </w:r>
    </w:p>
    <w:p w14:paraId="219796FF"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4F190C">
        <w:rPr>
          <w:rFonts w:eastAsia="Times New Roman"/>
          <w:noProof w:val="0"/>
          <w:color w:val="auto"/>
          <w:sz w:val="18"/>
          <w:szCs w:val="18"/>
          <w:lang w:eastAsia="en-US"/>
        </w:rPr>
        <w:t xml:space="preserve">Warr, O.; Giunta, T.; </w:t>
      </w:r>
      <w:proofErr w:type="spellStart"/>
      <w:r w:rsidRPr="004F190C">
        <w:rPr>
          <w:rFonts w:eastAsia="Times New Roman"/>
          <w:noProof w:val="0"/>
          <w:color w:val="auto"/>
          <w:sz w:val="18"/>
          <w:szCs w:val="18"/>
          <w:lang w:eastAsia="en-US"/>
        </w:rPr>
        <w:t>Onstott</w:t>
      </w:r>
      <w:proofErr w:type="spellEnd"/>
      <w:r w:rsidRPr="004F190C">
        <w:rPr>
          <w:rFonts w:eastAsia="Times New Roman"/>
          <w:noProof w:val="0"/>
          <w:color w:val="auto"/>
          <w:sz w:val="18"/>
          <w:szCs w:val="18"/>
          <w:lang w:eastAsia="en-US"/>
        </w:rPr>
        <w:t xml:space="preserve">, T.C.; </w:t>
      </w:r>
      <w:proofErr w:type="spellStart"/>
      <w:r w:rsidRPr="004F190C">
        <w:rPr>
          <w:rFonts w:eastAsia="Times New Roman"/>
          <w:noProof w:val="0"/>
          <w:color w:val="auto"/>
          <w:sz w:val="18"/>
          <w:szCs w:val="18"/>
          <w:lang w:eastAsia="en-US"/>
        </w:rPr>
        <w:t>Kieft</w:t>
      </w:r>
      <w:proofErr w:type="spellEnd"/>
      <w:r w:rsidRPr="004F190C">
        <w:rPr>
          <w:rFonts w:eastAsia="Times New Roman"/>
          <w:noProof w:val="0"/>
          <w:color w:val="auto"/>
          <w:sz w:val="18"/>
          <w:szCs w:val="18"/>
          <w:lang w:eastAsia="en-US"/>
        </w:rPr>
        <w:t xml:space="preserve">, T.L.; Harris, R.L.; </w:t>
      </w:r>
      <w:proofErr w:type="spellStart"/>
      <w:r w:rsidRPr="004F190C">
        <w:rPr>
          <w:rFonts w:eastAsia="Times New Roman"/>
          <w:noProof w:val="0"/>
          <w:color w:val="auto"/>
          <w:sz w:val="18"/>
          <w:szCs w:val="18"/>
          <w:lang w:eastAsia="en-US"/>
        </w:rPr>
        <w:t>Nisson</w:t>
      </w:r>
      <w:proofErr w:type="spellEnd"/>
      <w:r w:rsidRPr="004F190C">
        <w:rPr>
          <w:rFonts w:eastAsia="Times New Roman"/>
          <w:noProof w:val="0"/>
          <w:color w:val="auto"/>
          <w:sz w:val="18"/>
          <w:szCs w:val="18"/>
          <w:lang w:eastAsia="en-US"/>
        </w:rPr>
        <w:t xml:space="preserve">, D.M.; </w:t>
      </w:r>
      <w:proofErr w:type="spellStart"/>
      <w:r w:rsidRPr="004F190C">
        <w:rPr>
          <w:rFonts w:eastAsia="Times New Roman"/>
          <w:noProof w:val="0"/>
          <w:color w:val="auto"/>
          <w:sz w:val="18"/>
          <w:szCs w:val="18"/>
          <w:lang w:eastAsia="en-US"/>
        </w:rPr>
        <w:t>Lollar</w:t>
      </w:r>
      <w:proofErr w:type="spellEnd"/>
      <w:r w:rsidRPr="004F190C">
        <w:rPr>
          <w:rFonts w:eastAsia="Times New Roman"/>
          <w:noProof w:val="0"/>
          <w:color w:val="auto"/>
          <w:sz w:val="18"/>
          <w:szCs w:val="18"/>
          <w:lang w:eastAsia="en-US"/>
        </w:rPr>
        <w:t xml:space="preserve">, B.S. The role of </w:t>
      </w:r>
      <w:proofErr w:type="gramStart"/>
      <w:r w:rsidRPr="004F190C">
        <w:rPr>
          <w:rFonts w:eastAsia="Times New Roman"/>
          <w:noProof w:val="0"/>
          <w:color w:val="auto"/>
          <w:sz w:val="18"/>
          <w:szCs w:val="18"/>
          <w:lang w:eastAsia="en-US"/>
        </w:rPr>
        <w:t>low-temperature</w:t>
      </w:r>
      <w:proofErr w:type="gramEnd"/>
      <w:r w:rsidRPr="004F190C">
        <w:rPr>
          <w:rFonts w:eastAsia="Times New Roman"/>
          <w:noProof w:val="0"/>
          <w:color w:val="auto"/>
          <w:sz w:val="18"/>
          <w:szCs w:val="18"/>
          <w:lang w:eastAsia="en-US"/>
        </w:rPr>
        <w:t xml:space="preserve"> 18O exchange in the isotopic evolution of deep subsurface fluids. </w:t>
      </w:r>
      <w:r w:rsidRPr="004F190C">
        <w:rPr>
          <w:rFonts w:eastAsia="Times New Roman"/>
          <w:i/>
          <w:iCs/>
          <w:noProof w:val="0"/>
          <w:color w:val="auto"/>
          <w:sz w:val="18"/>
          <w:szCs w:val="18"/>
          <w:lang w:eastAsia="en-US"/>
        </w:rPr>
        <w:t>Chem. Geol.</w:t>
      </w:r>
      <w:r w:rsidRPr="004F190C">
        <w:rPr>
          <w:rFonts w:eastAsia="Times New Roman"/>
          <w:noProof w:val="0"/>
          <w:color w:val="auto"/>
          <w:sz w:val="18"/>
          <w:szCs w:val="18"/>
          <w:lang w:eastAsia="en-US"/>
        </w:rPr>
        <w:t xml:space="preserve"> </w:t>
      </w:r>
      <w:r w:rsidRPr="004F190C">
        <w:rPr>
          <w:rFonts w:eastAsia="Times New Roman"/>
          <w:b/>
          <w:bCs/>
          <w:noProof w:val="0"/>
          <w:color w:val="auto"/>
          <w:sz w:val="18"/>
          <w:szCs w:val="18"/>
          <w:lang w:eastAsia="en-US"/>
        </w:rPr>
        <w:t>2021</w:t>
      </w:r>
      <w:r w:rsidRPr="004F190C">
        <w:rPr>
          <w:rFonts w:eastAsia="Times New Roman"/>
          <w:bCs/>
          <w:noProof w:val="0"/>
          <w:color w:val="auto"/>
          <w:sz w:val="18"/>
          <w:szCs w:val="18"/>
          <w:lang w:eastAsia="en-US"/>
        </w:rPr>
        <w:t xml:space="preserve">, </w:t>
      </w:r>
      <w:r w:rsidRPr="004F190C">
        <w:rPr>
          <w:rFonts w:eastAsia="Times New Roman"/>
          <w:bCs/>
          <w:i/>
          <w:noProof w:val="0"/>
          <w:color w:val="auto"/>
          <w:sz w:val="18"/>
          <w:szCs w:val="18"/>
          <w:lang w:eastAsia="en-US"/>
        </w:rPr>
        <w:t>561</w:t>
      </w:r>
      <w:r w:rsidRPr="004F190C">
        <w:rPr>
          <w:rFonts w:eastAsia="Times New Roman"/>
          <w:bCs/>
          <w:noProof w:val="0"/>
          <w:color w:val="auto"/>
          <w:sz w:val="18"/>
          <w:szCs w:val="18"/>
          <w:lang w:eastAsia="en-US"/>
        </w:rPr>
        <w:t>, 120027</w:t>
      </w:r>
      <w:r w:rsidRPr="004F190C">
        <w:rPr>
          <w:rFonts w:eastAsia="Times New Roman"/>
          <w:noProof w:val="0"/>
          <w:color w:val="auto"/>
          <w:sz w:val="18"/>
          <w:szCs w:val="18"/>
          <w:lang w:eastAsia="en-US"/>
        </w:rPr>
        <w:t xml:space="preserve">, </w:t>
      </w:r>
      <w:proofErr w:type="gramStart"/>
      <w:r w:rsidRPr="004F190C">
        <w:rPr>
          <w:rFonts w:eastAsia="Times New Roman"/>
          <w:noProof w:val="0"/>
          <w:color w:val="auto"/>
          <w:sz w:val="18"/>
          <w:szCs w:val="18"/>
          <w:lang w:eastAsia="en-US"/>
        </w:rPr>
        <w:t>doi:10.1016/j.chemgeo</w:t>
      </w:r>
      <w:proofErr w:type="gramEnd"/>
      <w:r w:rsidRPr="004F190C">
        <w:rPr>
          <w:rFonts w:eastAsia="Times New Roman"/>
          <w:noProof w:val="0"/>
          <w:color w:val="auto"/>
          <w:sz w:val="18"/>
          <w:szCs w:val="18"/>
          <w:lang w:eastAsia="en-US"/>
        </w:rPr>
        <w:t>.2020.120027.</w:t>
      </w:r>
    </w:p>
    <w:p w14:paraId="4F8869D6" w14:textId="642DFDC4"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val="fr-FR" w:eastAsia="en-US"/>
        </w:rPr>
      </w:pPr>
      <w:r w:rsidRPr="004F190C">
        <w:rPr>
          <w:rFonts w:eastAsia="Times New Roman"/>
          <w:noProof w:val="0"/>
          <w:color w:val="auto"/>
          <w:sz w:val="18"/>
          <w:szCs w:val="18"/>
          <w:lang w:val="fr-FR" w:eastAsia="en-US"/>
        </w:rPr>
        <w:t xml:space="preserve">Grenier, J.–F. </w:t>
      </w:r>
      <w:r w:rsidRPr="004F190C">
        <w:rPr>
          <w:rFonts w:eastAsia="Times New Roman"/>
          <w:i/>
          <w:iCs/>
          <w:noProof w:val="0"/>
          <w:color w:val="auto"/>
          <w:sz w:val="18"/>
          <w:szCs w:val="18"/>
          <w:lang w:val="fr-FR" w:eastAsia="en-US"/>
        </w:rPr>
        <w:t xml:space="preserve">Caractérisation Pétrographique et </w:t>
      </w:r>
      <w:proofErr w:type="spellStart"/>
      <w:r w:rsidRPr="004F190C">
        <w:rPr>
          <w:rFonts w:eastAsia="Times New Roman"/>
          <w:i/>
          <w:iCs/>
          <w:noProof w:val="0"/>
          <w:color w:val="auto"/>
          <w:sz w:val="18"/>
          <w:szCs w:val="18"/>
          <w:lang w:val="fr-FR" w:eastAsia="en-US"/>
        </w:rPr>
        <w:t>Pétrophysique</w:t>
      </w:r>
      <w:proofErr w:type="spellEnd"/>
      <w:r w:rsidRPr="004F190C">
        <w:rPr>
          <w:rFonts w:eastAsia="Times New Roman"/>
          <w:i/>
          <w:iCs/>
          <w:noProof w:val="0"/>
          <w:color w:val="auto"/>
          <w:sz w:val="18"/>
          <w:szCs w:val="18"/>
          <w:lang w:val="fr-FR" w:eastAsia="en-US"/>
        </w:rPr>
        <w:t xml:space="preserve"> du Groupe de Potsdam dans le Forage A203, Basses–Terres du Saint–</w:t>
      </w:r>
      <w:proofErr w:type="gramStart"/>
      <w:r w:rsidRPr="004F190C">
        <w:rPr>
          <w:rFonts w:eastAsia="Times New Roman"/>
          <w:i/>
          <w:iCs/>
          <w:noProof w:val="0"/>
          <w:color w:val="auto"/>
          <w:sz w:val="18"/>
          <w:szCs w:val="18"/>
          <w:lang w:val="fr-FR" w:eastAsia="en-US"/>
        </w:rPr>
        <w:t>Laurent</w:t>
      </w:r>
      <w:r w:rsidRPr="004F190C">
        <w:rPr>
          <w:rFonts w:eastAsia="Times New Roman"/>
          <w:noProof w:val="0"/>
          <w:color w:val="auto"/>
          <w:sz w:val="18"/>
          <w:szCs w:val="18"/>
          <w:lang w:val="fr-FR" w:eastAsia="en-US"/>
        </w:rPr>
        <w:t>;</w:t>
      </w:r>
      <w:proofErr w:type="gramEnd"/>
      <w:r w:rsidRPr="004F190C">
        <w:rPr>
          <w:rFonts w:eastAsia="Times New Roman"/>
          <w:noProof w:val="0"/>
          <w:color w:val="auto"/>
          <w:sz w:val="18"/>
          <w:szCs w:val="18"/>
          <w:lang w:val="fr-FR" w:eastAsia="en-US"/>
        </w:rPr>
        <w:t xml:space="preserve"> Mémoire de Maitrise INRS</w:t>
      </w:r>
      <w:r w:rsidR="00E1355B" w:rsidRPr="004F190C">
        <w:rPr>
          <w:rFonts w:eastAsia="Times New Roman"/>
          <w:noProof w:val="0"/>
          <w:color w:val="auto"/>
          <w:sz w:val="18"/>
          <w:szCs w:val="18"/>
          <w:lang w:val="fr-FR" w:eastAsia="en-US"/>
        </w:rPr>
        <w:t> ; Institut national de la recherche scientifique, Québec, Canada</w:t>
      </w:r>
      <w:r w:rsidRPr="004F190C">
        <w:rPr>
          <w:rFonts w:eastAsia="Times New Roman"/>
          <w:noProof w:val="0"/>
          <w:color w:val="auto"/>
          <w:sz w:val="18"/>
          <w:szCs w:val="18"/>
          <w:lang w:val="fr-FR" w:eastAsia="en-US"/>
        </w:rPr>
        <w:t xml:space="preserve"> 2014; p. 162.</w:t>
      </w:r>
    </w:p>
    <w:p w14:paraId="3F510F3C" w14:textId="77777777" w:rsidR="009D0F5F" w:rsidRPr="004F190C" w:rsidRDefault="009D0F5F" w:rsidP="009D0F5F">
      <w:pPr>
        <w:numPr>
          <w:ilvl w:val="0"/>
          <w:numId w:val="18"/>
        </w:numPr>
        <w:adjustRightInd w:val="0"/>
        <w:snapToGrid w:val="0"/>
        <w:spacing w:line="228" w:lineRule="auto"/>
        <w:ind w:left="425" w:hanging="425"/>
        <w:rPr>
          <w:rFonts w:eastAsia="Times New Roman"/>
          <w:noProof w:val="0"/>
          <w:color w:val="auto"/>
          <w:sz w:val="18"/>
          <w:szCs w:val="18"/>
          <w:lang w:eastAsia="en-US"/>
        </w:rPr>
      </w:pPr>
      <w:proofErr w:type="spellStart"/>
      <w:r w:rsidRPr="004F190C">
        <w:rPr>
          <w:rFonts w:eastAsia="Times New Roman"/>
          <w:noProof w:val="0"/>
          <w:color w:val="auto"/>
          <w:sz w:val="18"/>
          <w:szCs w:val="18"/>
          <w:lang w:val="fr-FR" w:eastAsia="en-US"/>
        </w:rPr>
        <w:t>Barbecot</w:t>
      </w:r>
      <w:proofErr w:type="spellEnd"/>
      <w:r w:rsidRPr="004F190C">
        <w:rPr>
          <w:rFonts w:eastAsia="Times New Roman"/>
          <w:noProof w:val="0"/>
          <w:color w:val="auto"/>
          <w:sz w:val="18"/>
          <w:szCs w:val="18"/>
          <w:lang w:val="fr-FR" w:eastAsia="en-US"/>
        </w:rPr>
        <w:t xml:space="preserve">, </w:t>
      </w:r>
      <w:proofErr w:type="gramStart"/>
      <w:r w:rsidRPr="004F190C">
        <w:rPr>
          <w:rFonts w:eastAsia="Times New Roman"/>
          <w:noProof w:val="0"/>
          <w:color w:val="auto"/>
          <w:sz w:val="18"/>
          <w:szCs w:val="18"/>
          <w:lang w:val="fr-FR" w:eastAsia="en-US"/>
        </w:rPr>
        <w:t>F.;</w:t>
      </w:r>
      <w:proofErr w:type="gramEnd"/>
      <w:r w:rsidRPr="004F190C">
        <w:rPr>
          <w:rFonts w:eastAsia="Times New Roman"/>
          <w:noProof w:val="0"/>
          <w:color w:val="auto"/>
          <w:sz w:val="18"/>
          <w:szCs w:val="18"/>
          <w:lang w:val="fr-FR" w:eastAsia="en-US"/>
        </w:rPr>
        <w:t xml:space="preserve"> Guillon, S.; Pili, E.; Larocque, M.; Gibert-Brunet, E.; Hélie, J.-F.; </w:t>
      </w:r>
      <w:proofErr w:type="spellStart"/>
      <w:r w:rsidRPr="004F190C">
        <w:rPr>
          <w:rFonts w:eastAsia="Times New Roman"/>
          <w:noProof w:val="0"/>
          <w:color w:val="auto"/>
          <w:sz w:val="18"/>
          <w:szCs w:val="18"/>
          <w:lang w:val="fr-FR" w:eastAsia="en-US"/>
        </w:rPr>
        <w:t>Noret</w:t>
      </w:r>
      <w:proofErr w:type="spellEnd"/>
      <w:r w:rsidRPr="004F190C">
        <w:rPr>
          <w:rFonts w:eastAsia="Times New Roman"/>
          <w:noProof w:val="0"/>
          <w:color w:val="auto"/>
          <w:sz w:val="18"/>
          <w:szCs w:val="18"/>
          <w:lang w:val="fr-FR" w:eastAsia="en-US"/>
        </w:rPr>
        <w:t xml:space="preserve">, A.; Plain, C.; Schneider, V.; Mattei, A.; et al. </w:t>
      </w:r>
      <w:r w:rsidRPr="004F190C">
        <w:rPr>
          <w:rFonts w:eastAsia="Times New Roman"/>
          <w:noProof w:val="0"/>
          <w:color w:val="auto"/>
          <w:sz w:val="18"/>
          <w:szCs w:val="18"/>
          <w:lang w:eastAsia="en-US"/>
        </w:rPr>
        <w:t xml:space="preserve">Using Water Stable Isotopes in the Unsaturated Zone to Quantify Recharge in Two Contrasted Infiltration Regimes. </w:t>
      </w:r>
      <w:r w:rsidRPr="004F190C">
        <w:rPr>
          <w:rFonts w:eastAsia="Times New Roman"/>
          <w:i/>
          <w:iCs/>
          <w:noProof w:val="0"/>
          <w:color w:val="auto"/>
          <w:sz w:val="18"/>
          <w:szCs w:val="18"/>
          <w:lang w:eastAsia="en-US"/>
        </w:rPr>
        <w:t>Vadose Zone J.</w:t>
      </w:r>
      <w:r w:rsidRPr="004F190C">
        <w:rPr>
          <w:rFonts w:eastAsia="Times New Roman"/>
          <w:noProof w:val="0"/>
          <w:color w:val="auto"/>
          <w:sz w:val="18"/>
          <w:szCs w:val="18"/>
          <w:lang w:eastAsia="en-US"/>
        </w:rPr>
        <w:t xml:space="preserve"> </w:t>
      </w:r>
      <w:r w:rsidRPr="004F190C">
        <w:rPr>
          <w:rFonts w:eastAsia="Times New Roman"/>
          <w:b/>
          <w:bCs/>
          <w:noProof w:val="0"/>
          <w:color w:val="auto"/>
          <w:sz w:val="18"/>
          <w:szCs w:val="18"/>
          <w:lang w:eastAsia="en-US"/>
        </w:rPr>
        <w:t>2018</w:t>
      </w:r>
      <w:r w:rsidRPr="004F190C">
        <w:rPr>
          <w:rFonts w:eastAsia="Times New Roman"/>
          <w:bCs/>
          <w:noProof w:val="0"/>
          <w:color w:val="auto"/>
          <w:sz w:val="18"/>
          <w:szCs w:val="18"/>
          <w:lang w:eastAsia="en-US"/>
        </w:rPr>
        <w:t xml:space="preserve">, </w:t>
      </w:r>
      <w:r w:rsidRPr="004F190C">
        <w:rPr>
          <w:rFonts w:eastAsia="Times New Roman"/>
          <w:bCs/>
          <w:i/>
          <w:noProof w:val="0"/>
          <w:color w:val="auto"/>
          <w:sz w:val="18"/>
          <w:szCs w:val="18"/>
          <w:lang w:eastAsia="en-US"/>
        </w:rPr>
        <w:t>17</w:t>
      </w:r>
      <w:r w:rsidRPr="004F190C">
        <w:rPr>
          <w:rFonts w:eastAsia="Times New Roman"/>
          <w:bCs/>
          <w:noProof w:val="0"/>
          <w:color w:val="auto"/>
          <w:sz w:val="18"/>
          <w:szCs w:val="18"/>
          <w:lang w:eastAsia="en-US"/>
        </w:rPr>
        <w:t>, 170170</w:t>
      </w:r>
      <w:r w:rsidRPr="004F190C">
        <w:rPr>
          <w:rFonts w:eastAsia="Times New Roman"/>
          <w:noProof w:val="0"/>
          <w:color w:val="auto"/>
          <w:sz w:val="18"/>
          <w:szCs w:val="18"/>
          <w:lang w:eastAsia="en-US"/>
        </w:rPr>
        <w:t>, doi:10.2136/vzj2017.09.0170.</w:t>
      </w:r>
    </w:p>
    <w:p w14:paraId="1B2CC975" w14:textId="45A36A82" w:rsidR="00E94B1B" w:rsidRPr="004F190C" w:rsidRDefault="009D0F5F" w:rsidP="00CE3D56">
      <w:pPr>
        <w:numPr>
          <w:ilvl w:val="0"/>
          <w:numId w:val="18"/>
        </w:numPr>
        <w:adjustRightInd w:val="0"/>
        <w:snapToGrid w:val="0"/>
        <w:spacing w:line="228" w:lineRule="auto"/>
        <w:ind w:left="425" w:hanging="425"/>
        <w:rPr>
          <w:rFonts w:eastAsia="Times New Roman"/>
          <w:noProof w:val="0"/>
          <w:color w:val="auto"/>
          <w:sz w:val="18"/>
          <w:szCs w:val="18"/>
          <w:lang w:eastAsia="en-US"/>
        </w:rPr>
      </w:pPr>
      <w:r w:rsidRPr="004F190C">
        <w:rPr>
          <w:rFonts w:eastAsia="Times New Roman"/>
          <w:noProof w:val="0"/>
          <w:color w:val="auto"/>
          <w:sz w:val="18"/>
          <w:szCs w:val="18"/>
          <w:lang w:eastAsia="en-US"/>
        </w:rPr>
        <w:t xml:space="preserve">Caley, T.; Roche, D.M.; </w:t>
      </w:r>
      <w:proofErr w:type="spellStart"/>
      <w:r w:rsidRPr="004F190C">
        <w:rPr>
          <w:rFonts w:eastAsia="Times New Roman"/>
          <w:noProof w:val="0"/>
          <w:color w:val="auto"/>
          <w:sz w:val="18"/>
          <w:szCs w:val="18"/>
          <w:lang w:eastAsia="en-US"/>
        </w:rPr>
        <w:t>Waelbroeck</w:t>
      </w:r>
      <w:proofErr w:type="spellEnd"/>
      <w:r w:rsidRPr="004F190C">
        <w:rPr>
          <w:rFonts w:eastAsia="Times New Roman"/>
          <w:noProof w:val="0"/>
          <w:color w:val="auto"/>
          <w:sz w:val="18"/>
          <w:szCs w:val="18"/>
          <w:lang w:eastAsia="en-US"/>
        </w:rPr>
        <w:t xml:space="preserve">, C.; Michel, E. Oxygen stable isotopes during the Last Glacial Maximum climate: Perspectives from data–model (LOVECLIM) comparison. </w:t>
      </w:r>
      <w:proofErr w:type="spellStart"/>
      <w:r w:rsidRPr="004F190C">
        <w:rPr>
          <w:rFonts w:eastAsia="Times New Roman"/>
          <w:i/>
          <w:iCs/>
          <w:noProof w:val="0"/>
          <w:color w:val="auto"/>
          <w:sz w:val="18"/>
          <w:szCs w:val="18"/>
          <w:lang w:eastAsia="en-US"/>
        </w:rPr>
        <w:t>Clim</w:t>
      </w:r>
      <w:proofErr w:type="spellEnd"/>
      <w:r w:rsidRPr="004F190C">
        <w:rPr>
          <w:rFonts w:eastAsia="Times New Roman"/>
          <w:i/>
          <w:iCs/>
          <w:noProof w:val="0"/>
          <w:color w:val="auto"/>
          <w:sz w:val="18"/>
          <w:szCs w:val="18"/>
          <w:lang w:eastAsia="en-US"/>
        </w:rPr>
        <w:t>. Past</w:t>
      </w:r>
      <w:r w:rsidRPr="004F190C">
        <w:rPr>
          <w:rFonts w:eastAsia="Times New Roman"/>
          <w:noProof w:val="0"/>
          <w:color w:val="auto"/>
          <w:sz w:val="18"/>
          <w:szCs w:val="18"/>
          <w:lang w:eastAsia="en-US"/>
        </w:rPr>
        <w:t xml:space="preserve"> </w:t>
      </w:r>
      <w:r w:rsidRPr="004F190C">
        <w:rPr>
          <w:rFonts w:eastAsia="Times New Roman"/>
          <w:b/>
          <w:bCs/>
          <w:noProof w:val="0"/>
          <w:color w:val="auto"/>
          <w:sz w:val="18"/>
          <w:szCs w:val="18"/>
          <w:lang w:eastAsia="en-US"/>
        </w:rPr>
        <w:t>2014</w:t>
      </w:r>
      <w:r w:rsidRPr="004F190C">
        <w:rPr>
          <w:rFonts w:eastAsia="Times New Roman"/>
          <w:bCs/>
          <w:noProof w:val="0"/>
          <w:color w:val="auto"/>
          <w:sz w:val="18"/>
          <w:szCs w:val="18"/>
          <w:lang w:eastAsia="en-US"/>
        </w:rPr>
        <w:t xml:space="preserve">, </w:t>
      </w:r>
      <w:r w:rsidRPr="004F190C">
        <w:rPr>
          <w:rFonts w:eastAsia="Times New Roman"/>
          <w:bCs/>
          <w:i/>
          <w:noProof w:val="0"/>
          <w:color w:val="auto"/>
          <w:sz w:val="18"/>
          <w:szCs w:val="18"/>
          <w:lang w:eastAsia="en-US"/>
        </w:rPr>
        <w:t>10</w:t>
      </w:r>
      <w:r w:rsidRPr="004F190C">
        <w:rPr>
          <w:rFonts w:eastAsia="Times New Roman"/>
          <w:bCs/>
          <w:noProof w:val="0"/>
          <w:color w:val="auto"/>
          <w:sz w:val="18"/>
          <w:szCs w:val="18"/>
          <w:lang w:eastAsia="en-US"/>
        </w:rPr>
        <w:t>, 1939–1955</w:t>
      </w:r>
      <w:r w:rsidRPr="004F190C">
        <w:rPr>
          <w:rFonts w:eastAsia="Times New Roman"/>
          <w:noProof w:val="0"/>
          <w:color w:val="auto"/>
          <w:sz w:val="18"/>
          <w:szCs w:val="18"/>
          <w:lang w:eastAsia="en-US"/>
        </w:rPr>
        <w:t>.</w:t>
      </w:r>
    </w:p>
    <w:sectPr w:rsidR="00E94B1B" w:rsidRPr="004F190C" w:rsidSect="004E5687">
      <w:headerReference w:type="even" r:id="rId29"/>
      <w:headerReference w:type="default" r:id="rId30"/>
      <w:footerReference w:type="even" r:id="rId31"/>
      <w:footerReference w:type="default" r:id="rId32"/>
      <w:headerReference w:type="first" r:id="rId33"/>
      <w:footerReference w:type="first" r:id="rId34"/>
      <w:pgSz w:w="11906" w:h="16838" w:code="9"/>
      <w:pgMar w:top="1417" w:right="720" w:bottom="1077" w:left="720" w:header="1020" w:footer="340" w:gutter="0"/>
      <w:lnNumType w:countBy="1" w:distance="255" w:restart="continuous"/>
      <w:pgNumType w:start="14"/>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21DEE" w14:textId="77777777" w:rsidR="005C026C" w:rsidRDefault="005C026C">
      <w:pPr>
        <w:spacing w:line="240" w:lineRule="auto"/>
      </w:pPr>
      <w:r>
        <w:separator/>
      </w:r>
    </w:p>
  </w:endnote>
  <w:endnote w:type="continuationSeparator" w:id="0">
    <w:p w14:paraId="3FC30300" w14:textId="77777777" w:rsidR="005C026C" w:rsidRDefault="005C02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564B" w14:textId="77777777" w:rsidR="009D39F7" w:rsidRPr="00387959" w:rsidRDefault="009D39F7" w:rsidP="00C941E4">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9699" w14:textId="77777777" w:rsidR="009D39F7" w:rsidRDefault="009D39F7" w:rsidP="00F24DE7">
    <w:pPr>
      <w:pStyle w:val="MDPIfooterfirstpage"/>
      <w:pBdr>
        <w:top w:val="single" w:sz="4" w:space="0" w:color="000000"/>
      </w:pBdr>
      <w:adjustRightInd w:val="0"/>
      <w:snapToGrid w:val="0"/>
      <w:spacing w:before="480" w:line="100" w:lineRule="exact"/>
      <w:rPr>
        <w:i/>
        <w:szCs w:val="16"/>
      </w:rPr>
    </w:pPr>
  </w:p>
  <w:p w14:paraId="021D3205" w14:textId="77777777" w:rsidR="009D39F7" w:rsidRPr="00E4604C" w:rsidRDefault="009D39F7" w:rsidP="006D60E8">
    <w:pPr>
      <w:pStyle w:val="MDPIfooterfirstpage"/>
      <w:tabs>
        <w:tab w:val="clear" w:pos="8845"/>
        <w:tab w:val="right" w:pos="10466"/>
      </w:tabs>
      <w:spacing w:line="240" w:lineRule="auto"/>
      <w:jc w:val="both"/>
      <w:rPr>
        <w:lang w:val="en-CA"/>
      </w:rPr>
    </w:pPr>
    <w:r w:rsidRPr="00E21DDB">
      <w:rPr>
        <w:i/>
        <w:szCs w:val="16"/>
      </w:rPr>
      <w:t>Water</w:t>
    </w:r>
    <w:r w:rsidRPr="00E21DDB">
      <w:rPr>
        <w:iCs/>
        <w:szCs w:val="16"/>
      </w:rPr>
      <w:t xml:space="preserve"> </w:t>
    </w:r>
    <w:r w:rsidRPr="00C356B4">
      <w:rPr>
        <w:b/>
        <w:bCs/>
        <w:iCs/>
        <w:szCs w:val="16"/>
      </w:rPr>
      <w:t>2021</w:t>
    </w:r>
    <w:r w:rsidRPr="006F6BEF">
      <w:rPr>
        <w:bCs/>
        <w:iCs/>
        <w:szCs w:val="16"/>
      </w:rPr>
      <w:t xml:space="preserve">, </w:t>
    </w:r>
    <w:r w:rsidRPr="00C356B4">
      <w:rPr>
        <w:bCs/>
        <w:i/>
        <w:iCs/>
        <w:szCs w:val="16"/>
      </w:rPr>
      <w:t>13</w:t>
    </w:r>
    <w:r w:rsidRPr="006F6BEF">
      <w:rPr>
        <w:bCs/>
        <w:iCs/>
        <w:szCs w:val="16"/>
      </w:rPr>
      <w:t xml:space="preserve">, </w:t>
    </w:r>
    <w:r>
      <w:rPr>
        <w:bCs/>
        <w:iCs/>
        <w:szCs w:val="16"/>
      </w:rPr>
      <w:t>x. https://doi.org/10.3390/xxxxx</w:t>
    </w:r>
    <w:r w:rsidRPr="00E4604C">
      <w:rPr>
        <w:lang w:val="en-CA"/>
      </w:rPr>
      <w:tab/>
      <w:t>www.mdpi.com/journal/</w:t>
    </w:r>
    <w:r w:rsidRPr="00E13369">
      <w:t>water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D5F5" w14:textId="77777777" w:rsidR="00BA4CA6" w:rsidRDefault="00BA4C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11429" w14:textId="77777777" w:rsidR="00C941E4" w:rsidRPr="00387959" w:rsidRDefault="00C941E4" w:rsidP="00C941E4">
    <w:pPr>
      <w:pStyle w:val="Pieddepage"/>
      <w:spacing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DBB4" w14:textId="77777777" w:rsidR="00E1509D" w:rsidRDefault="00E1509D" w:rsidP="00F24DE7">
    <w:pPr>
      <w:pStyle w:val="MDPIfooterfirstpage"/>
      <w:pBdr>
        <w:top w:val="single" w:sz="4" w:space="0" w:color="000000"/>
      </w:pBdr>
      <w:adjustRightInd w:val="0"/>
      <w:snapToGrid w:val="0"/>
      <w:spacing w:before="480" w:line="100" w:lineRule="exact"/>
      <w:rPr>
        <w:i/>
        <w:szCs w:val="16"/>
      </w:rPr>
    </w:pPr>
  </w:p>
  <w:p w14:paraId="0410648E" w14:textId="77777777" w:rsidR="00C941E4" w:rsidRPr="00E4604C" w:rsidRDefault="00C941E4" w:rsidP="006D60E8">
    <w:pPr>
      <w:pStyle w:val="MDPIfooterfirstpage"/>
      <w:tabs>
        <w:tab w:val="clear" w:pos="8845"/>
        <w:tab w:val="right" w:pos="10466"/>
      </w:tabs>
      <w:spacing w:line="240" w:lineRule="auto"/>
      <w:jc w:val="both"/>
      <w:rPr>
        <w:lang w:val="en-CA"/>
      </w:rPr>
    </w:pPr>
    <w:r w:rsidRPr="00E21DDB">
      <w:rPr>
        <w:i/>
        <w:szCs w:val="16"/>
      </w:rPr>
      <w:t>Water</w:t>
    </w:r>
    <w:r w:rsidRPr="00E21DDB">
      <w:rPr>
        <w:iCs/>
        <w:szCs w:val="16"/>
      </w:rPr>
      <w:t xml:space="preserve"> </w:t>
    </w:r>
    <w:r w:rsidR="00C356B4" w:rsidRPr="00C356B4">
      <w:rPr>
        <w:b/>
        <w:bCs/>
        <w:iCs/>
        <w:szCs w:val="16"/>
      </w:rPr>
      <w:t>2021</w:t>
    </w:r>
    <w:r w:rsidR="006F6BEF" w:rsidRPr="006F6BEF">
      <w:rPr>
        <w:bCs/>
        <w:iCs/>
        <w:szCs w:val="16"/>
      </w:rPr>
      <w:t xml:space="preserve">, </w:t>
    </w:r>
    <w:r w:rsidR="00C356B4" w:rsidRPr="00C356B4">
      <w:rPr>
        <w:bCs/>
        <w:i/>
        <w:iCs/>
        <w:szCs w:val="16"/>
      </w:rPr>
      <w:t>13</w:t>
    </w:r>
    <w:r w:rsidR="006F6BEF" w:rsidRPr="006F6BEF">
      <w:rPr>
        <w:bCs/>
        <w:iCs/>
        <w:szCs w:val="16"/>
      </w:rPr>
      <w:t xml:space="preserve">, </w:t>
    </w:r>
    <w:r w:rsidR="009535FF">
      <w:rPr>
        <w:bCs/>
        <w:iCs/>
        <w:szCs w:val="16"/>
      </w:rPr>
      <w:t>x</w:t>
    </w:r>
    <w:r w:rsidR="00E1509D">
      <w:rPr>
        <w:bCs/>
        <w:iCs/>
        <w:szCs w:val="16"/>
      </w:rPr>
      <w:t>. https://doi.org/10.3390/xxxxx</w:t>
    </w:r>
    <w:r w:rsidR="006D60E8" w:rsidRPr="00E4604C">
      <w:rPr>
        <w:lang w:val="en-CA"/>
      </w:rPr>
      <w:tab/>
    </w:r>
    <w:r w:rsidRPr="00E4604C">
      <w:rPr>
        <w:lang w:val="en-CA"/>
      </w:rPr>
      <w:t>www.mdpi.com/journal/</w:t>
    </w:r>
    <w:r w:rsidRPr="00E13369">
      <w:t>water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0E171" w14:textId="77777777" w:rsidR="005C026C" w:rsidRDefault="005C026C">
      <w:pPr>
        <w:spacing w:line="240" w:lineRule="auto"/>
      </w:pPr>
      <w:r>
        <w:separator/>
      </w:r>
    </w:p>
  </w:footnote>
  <w:footnote w:type="continuationSeparator" w:id="0">
    <w:p w14:paraId="4B6AC7F0" w14:textId="77777777" w:rsidR="005C026C" w:rsidRDefault="005C02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7166" w14:textId="77777777" w:rsidR="009D39F7" w:rsidRDefault="009D39F7" w:rsidP="00C941E4">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4FCA" w14:textId="77777777" w:rsidR="009D39F7" w:rsidRDefault="009D39F7" w:rsidP="006D60E8">
    <w:pPr>
      <w:tabs>
        <w:tab w:val="right" w:pos="10466"/>
      </w:tabs>
      <w:adjustRightInd w:val="0"/>
      <w:snapToGrid w:val="0"/>
      <w:spacing w:line="240" w:lineRule="auto"/>
      <w:rPr>
        <w:sz w:val="16"/>
      </w:rPr>
    </w:pPr>
    <w:r>
      <w:rPr>
        <w:i/>
        <w:sz w:val="16"/>
      </w:rPr>
      <w:t xml:space="preserve">Water </w:t>
    </w:r>
    <w:r w:rsidRPr="002B0859">
      <w:rPr>
        <w:b/>
        <w:sz w:val="16"/>
      </w:rPr>
      <w:t>2021</w:t>
    </w:r>
    <w:r w:rsidRPr="006F6BEF">
      <w:rPr>
        <w:sz w:val="16"/>
      </w:rPr>
      <w:t xml:space="preserve">, </w:t>
    </w:r>
    <w:r w:rsidRPr="002B0859">
      <w:rPr>
        <w:i/>
        <w:sz w:val="16"/>
      </w:rPr>
      <w:t>13</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4</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4430A989" w14:textId="77777777" w:rsidR="009D39F7" w:rsidRPr="00144221" w:rsidRDefault="009D39F7" w:rsidP="00F24DE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9D39F7" w:rsidRPr="006D60E8" w14:paraId="38EDFB69" w14:textId="77777777" w:rsidTr="006D60E8">
      <w:trPr>
        <w:trHeight w:val="686"/>
      </w:trPr>
      <w:tc>
        <w:tcPr>
          <w:tcW w:w="3679" w:type="dxa"/>
          <w:shd w:val="clear" w:color="auto" w:fill="auto"/>
          <w:vAlign w:val="center"/>
        </w:tcPr>
        <w:p w14:paraId="64ACD72D" w14:textId="5C0CC6A1" w:rsidR="009D39F7" w:rsidRPr="00FA02A8" w:rsidRDefault="00FE5916" w:rsidP="006D60E8">
          <w:pPr>
            <w:pStyle w:val="En-tte"/>
            <w:pBdr>
              <w:bottom w:val="none" w:sz="0" w:space="0" w:color="auto"/>
            </w:pBdr>
            <w:jc w:val="left"/>
            <w:rPr>
              <w:rFonts w:eastAsia="DengXian"/>
              <w:b/>
              <w:bCs/>
            </w:rPr>
          </w:pPr>
          <w:r>
            <w:rPr>
              <w:rFonts w:eastAsia="DengXian"/>
              <w:b/>
              <w:bCs/>
            </w:rPr>
            <w:drawing>
              <wp:inline distT="0" distB="0" distL="0" distR="0" wp14:anchorId="35DF2AA2" wp14:editId="5A46753F">
                <wp:extent cx="1234440" cy="4267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440" cy="426720"/>
                        </a:xfrm>
                        <a:prstGeom prst="rect">
                          <a:avLst/>
                        </a:prstGeom>
                        <a:noFill/>
                        <a:ln>
                          <a:noFill/>
                        </a:ln>
                      </pic:spPr>
                    </pic:pic>
                  </a:graphicData>
                </a:graphic>
              </wp:inline>
            </w:drawing>
          </w:r>
        </w:p>
      </w:tc>
      <w:tc>
        <w:tcPr>
          <w:tcW w:w="4535" w:type="dxa"/>
          <w:shd w:val="clear" w:color="auto" w:fill="auto"/>
          <w:vAlign w:val="center"/>
        </w:tcPr>
        <w:p w14:paraId="55C7D6ED" w14:textId="77777777" w:rsidR="009D39F7" w:rsidRPr="00FA02A8" w:rsidRDefault="009D39F7" w:rsidP="006D60E8">
          <w:pPr>
            <w:pStyle w:val="En-tte"/>
            <w:pBdr>
              <w:bottom w:val="none" w:sz="0" w:space="0" w:color="auto"/>
            </w:pBdr>
            <w:rPr>
              <w:rFonts w:eastAsia="DengXian"/>
              <w:b/>
              <w:bCs/>
            </w:rPr>
          </w:pPr>
        </w:p>
      </w:tc>
      <w:tc>
        <w:tcPr>
          <w:tcW w:w="2273" w:type="dxa"/>
          <w:shd w:val="clear" w:color="auto" w:fill="auto"/>
          <w:vAlign w:val="center"/>
        </w:tcPr>
        <w:p w14:paraId="6E8D2C6B" w14:textId="4BEAEED9" w:rsidR="009D39F7" w:rsidRPr="00FA02A8" w:rsidRDefault="00FE5916" w:rsidP="006D60E8">
          <w:pPr>
            <w:pStyle w:val="En-tte"/>
            <w:pBdr>
              <w:bottom w:val="none" w:sz="0" w:space="0" w:color="auto"/>
            </w:pBdr>
            <w:jc w:val="right"/>
            <w:rPr>
              <w:rFonts w:eastAsia="DengXian"/>
              <w:b/>
              <w:bCs/>
            </w:rPr>
          </w:pPr>
          <w:r>
            <w:rPr>
              <w:rFonts w:eastAsia="DengXian"/>
              <w:b/>
              <w:bCs/>
            </w:rPr>
            <w:drawing>
              <wp:inline distT="0" distB="0" distL="0" distR="0" wp14:anchorId="4D73507C" wp14:editId="7FC1E13D">
                <wp:extent cx="541020" cy="3657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65760"/>
                        </a:xfrm>
                        <a:prstGeom prst="rect">
                          <a:avLst/>
                        </a:prstGeom>
                        <a:noFill/>
                        <a:ln>
                          <a:noFill/>
                        </a:ln>
                      </pic:spPr>
                    </pic:pic>
                  </a:graphicData>
                </a:graphic>
              </wp:inline>
            </w:drawing>
          </w:r>
        </w:p>
      </w:tc>
    </w:tr>
  </w:tbl>
  <w:p w14:paraId="1CD2AC69" w14:textId="77777777" w:rsidR="009D39F7" w:rsidRPr="00E1509D" w:rsidRDefault="009D39F7" w:rsidP="00F24DE7">
    <w:pPr>
      <w:pBdr>
        <w:bottom w:val="single" w:sz="4" w:space="1" w:color="000000"/>
      </w:pBdr>
      <w:adjustRightInd w:val="0"/>
      <w:snapToGrid w:val="0"/>
      <w:spacing w:line="100" w:lineRule="exact"/>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EE27" w14:textId="77777777" w:rsidR="00C941E4" w:rsidRDefault="00C941E4" w:rsidP="00C941E4">
    <w:pPr>
      <w:pStyle w:val="En-tte"/>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6ADD8" w14:textId="77777777" w:rsidR="00E1509D" w:rsidRDefault="00C941E4" w:rsidP="006D60E8">
    <w:pPr>
      <w:tabs>
        <w:tab w:val="right" w:pos="10466"/>
      </w:tabs>
      <w:adjustRightInd w:val="0"/>
      <w:snapToGrid w:val="0"/>
      <w:spacing w:line="240" w:lineRule="auto"/>
      <w:rPr>
        <w:sz w:val="16"/>
      </w:rPr>
    </w:pPr>
    <w:r>
      <w:rPr>
        <w:i/>
        <w:sz w:val="16"/>
      </w:rPr>
      <w:t xml:space="preserve">Water </w:t>
    </w:r>
    <w:r w:rsidR="002B0859" w:rsidRPr="002B0859">
      <w:rPr>
        <w:b/>
        <w:sz w:val="16"/>
      </w:rPr>
      <w:t>2021</w:t>
    </w:r>
    <w:r w:rsidR="006F6BEF" w:rsidRPr="006F6BEF">
      <w:rPr>
        <w:sz w:val="16"/>
      </w:rPr>
      <w:t xml:space="preserve">, </w:t>
    </w:r>
    <w:r w:rsidR="002B0859" w:rsidRPr="002B0859">
      <w:rPr>
        <w:i/>
        <w:sz w:val="16"/>
      </w:rPr>
      <w:t>13</w:t>
    </w:r>
    <w:r w:rsidR="009535FF">
      <w:rPr>
        <w:sz w:val="16"/>
      </w:rPr>
      <w:t>, x FOR PEER REVIEW</w:t>
    </w:r>
    <w:r w:rsidR="006D60E8">
      <w:rPr>
        <w:sz w:val="16"/>
      </w:rPr>
      <w:tab/>
    </w:r>
    <w:r w:rsidR="009535FF">
      <w:rPr>
        <w:sz w:val="16"/>
      </w:rPr>
      <w:fldChar w:fldCharType="begin"/>
    </w:r>
    <w:r w:rsidR="009535FF">
      <w:rPr>
        <w:sz w:val="16"/>
      </w:rPr>
      <w:instrText xml:space="preserve"> PAGE   \* MERGEFORMAT </w:instrText>
    </w:r>
    <w:r w:rsidR="009535FF">
      <w:rPr>
        <w:sz w:val="16"/>
      </w:rPr>
      <w:fldChar w:fldCharType="separate"/>
    </w:r>
    <w:r w:rsidR="008B67E1">
      <w:rPr>
        <w:sz w:val="16"/>
      </w:rPr>
      <w:t>4</w:t>
    </w:r>
    <w:r w:rsidR="009535FF">
      <w:rPr>
        <w:sz w:val="16"/>
      </w:rPr>
      <w:fldChar w:fldCharType="end"/>
    </w:r>
    <w:r w:rsidR="009535FF">
      <w:rPr>
        <w:sz w:val="16"/>
      </w:rPr>
      <w:t xml:space="preserve"> of </w:t>
    </w:r>
    <w:r w:rsidR="009535FF">
      <w:rPr>
        <w:sz w:val="16"/>
      </w:rPr>
      <w:fldChar w:fldCharType="begin"/>
    </w:r>
    <w:r w:rsidR="009535FF">
      <w:rPr>
        <w:sz w:val="16"/>
      </w:rPr>
      <w:instrText xml:space="preserve"> NUMPAGES   \* MERGEFORMAT </w:instrText>
    </w:r>
    <w:r w:rsidR="009535FF">
      <w:rPr>
        <w:sz w:val="16"/>
      </w:rPr>
      <w:fldChar w:fldCharType="separate"/>
    </w:r>
    <w:r w:rsidR="008B67E1">
      <w:rPr>
        <w:sz w:val="16"/>
      </w:rPr>
      <w:t>5</w:t>
    </w:r>
    <w:r w:rsidR="009535FF">
      <w:rPr>
        <w:sz w:val="16"/>
      </w:rPr>
      <w:fldChar w:fldCharType="end"/>
    </w:r>
  </w:p>
  <w:p w14:paraId="2D68314E" w14:textId="77777777" w:rsidR="00C941E4" w:rsidRPr="00144221" w:rsidRDefault="00C941E4" w:rsidP="00F24DE7">
    <w:pPr>
      <w:pBdr>
        <w:bottom w:val="single" w:sz="4" w:space="1" w:color="000000"/>
      </w:pBdr>
      <w:tabs>
        <w:tab w:val="right" w:pos="8844"/>
      </w:tabs>
      <w:adjustRightInd w:val="0"/>
      <w:snapToGrid w:val="0"/>
      <w:spacing w:after="480" w:line="100" w:lineRule="exact"/>
      <w:jc w:val="left"/>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E1509D" w:rsidRPr="006D60E8" w14:paraId="51C23E7F" w14:textId="77777777" w:rsidTr="006D60E8">
      <w:trPr>
        <w:trHeight w:val="686"/>
      </w:trPr>
      <w:tc>
        <w:tcPr>
          <w:tcW w:w="3679" w:type="dxa"/>
          <w:shd w:val="clear" w:color="auto" w:fill="auto"/>
          <w:vAlign w:val="center"/>
        </w:tcPr>
        <w:p w14:paraId="7780F0B9" w14:textId="6530E4FC" w:rsidR="00E1509D" w:rsidRPr="00FA02A8" w:rsidRDefault="00FE5916" w:rsidP="006D60E8">
          <w:pPr>
            <w:pStyle w:val="En-tte"/>
            <w:pBdr>
              <w:bottom w:val="none" w:sz="0" w:space="0" w:color="auto"/>
            </w:pBdr>
            <w:jc w:val="left"/>
            <w:rPr>
              <w:rFonts w:eastAsia="DengXian"/>
              <w:b/>
              <w:bCs/>
            </w:rPr>
          </w:pPr>
          <w:r>
            <w:rPr>
              <w:rFonts w:eastAsia="DengXian"/>
              <w:b/>
              <w:bCs/>
            </w:rPr>
            <w:drawing>
              <wp:inline distT="0" distB="0" distL="0" distR="0" wp14:anchorId="581BF509" wp14:editId="37D799B7">
                <wp:extent cx="1226820" cy="4267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426720"/>
                        </a:xfrm>
                        <a:prstGeom prst="rect">
                          <a:avLst/>
                        </a:prstGeom>
                        <a:noFill/>
                        <a:ln>
                          <a:noFill/>
                        </a:ln>
                      </pic:spPr>
                    </pic:pic>
                  </a:graphicData>
                </a:graphic>
              </wp:inline>
            </w:drawing>
          </w:r>
        </w:p>
      </w:tc>
      <w:tc>
        <w:tcPr>
          <w:tcW w:w="4535" w:type="dxa"/>
          <w:shd w:val="clear" w:color="auto" w:fill="auto"/>
          <w:vAlign w:val="center"/>
        </w:tcPr>
        <w:p w14:paraId="289FE883" w14:textId="77777777" w:rsidR="00E1509D" w:rsidRPr="00FA02A8" w:rsidRDefault="00E1509D" w:rsidP="006D60E8">
          <w:pPr>
            <w:pStyle w:val="En-tte"/>
            <w:pBdr>
              <w:bottom w:val="none" w:sz="0" w:space="0" w:color="auto"/>
            </w:pBdr>
            <w:rPr>
              <w:rFonts w:eastAsia="DengXian"/>
              <w:b/>
              <w:bCs/>
            </w:rPr>
          </w:pPr>
        </w:p>
      </w:tc>
      <w:tc>
        <w:tcPr>
          <w:tcW w:w="2273" w:type="dxa"/>
          <w:shd w:val="clear" w:color="auto" w:fill="auto"/>
          <w:vAlign w:val="center"/>
        </w:tcPr>
        <w:p w14:paraId="19A7B472" w14:textId="0588A890" w:rsidR="00E1509D" w:rsidRPr="00FA02A8" w:rsidRDefault="00FE5916" w:rsidP="006D60E8">
          <w:pPr>
            <w:pStyle w:val="En-tte"/>
            <w:pBdr>
              <w:bottom w:val="none" w:sz="0" w:space="0" w:color="auto"/>
            </w:pBdr>
            <w:jc w:val="right"/>
            <w:rPr>
              <w:rFonts w:eastAsia="DengXian"/>
              <w:b/>
              <w:bCs/>
            </w:rPr>
          </w:pPr>
          <w:r>
            <w:rPr>
              <w:rFonts w:eastAsia="DengXian"/>
              <w:b/>
              <w:bCs/>
            </w:rPr>
            <w:drawing>
              <wp:inline distT="0" distB="0" distL="0" distR="0" wp14:anchorId="4394524E" wp14:editId="33EC265E">
                <wp:extent cx="541020" cy="3581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c>
    </w:tr>
  </w:tbl>
  <w:p w14:paraId="23E47A1C" w14:textId="77777777" w:rsidR="00C941E4" w:rsidRPr="00E1509D" w:rsidRDefault="00C941E4" w:rsidP="00F24DE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7" w15:restartNumberingAfterBreak="0">
    <w:nsid w:val="6B2C453A"/>
    <w:multiLevelType w:val="hybridMultilevel"/>
    <w:tmpl w:val="EEA6F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1"/>
  </w:num>
  <w:num w:numId="8">
    <w:abstractNumId w:val="6"/>
  </w:num>
  <w:num w:numId="9">
    <w:abstractNumId w:val="1"/>
  </w:num>
  <w:num w:numId="10">
    <w:abstractNumId w:val="6"/>
  </w:num>
  <w:num w:numId="11">
    <w:abstractNumId w:val="1"/>
  </w:num>
  <w:num w:numId="12">
    <w:abstractNumId w:val="8"/>
  </w:num>
  <w:num w:numId="13">
    <w:abstractNumId w:val="6"/>
  </w:num>
  <w:num w:numId="14">
    <w:abstractNumId w:val="1"/>
  </w:num>
  <w:num w:numId="15">
    <w:abstractNumId w:val="0"/>
  </w:num>
  <w:num w:numId="16">
    <w:abstractNumId w:val="0"/>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A4F"/>
    <w:rsid w:val="00001FA9"/>
    <w:rsid w:val="00005021"/>
    <w:rsid w:val="00005489"/>
    <w:rsid w:val="00015DF6"/>
    <w:rsid w:val="00015F1E"/>
    <w:rsid w:val="000213F0"/>
    <w:rsid w:val="000248ED"/>
    <w:rsid w:val="0002527E"/>
    <w:rsid w:val="00030CBC"/>
    <w:rsid w:val="0003792A"/>
    <w:rsid w:val="000401D1"/>
    <w:rsid w:val="00040D53"/>
    <w:rsid w:val="00046F13"/>
    <w:rsid w:val="00052218"/>
    <w:rsid w:val="00060A6F"/>
    <w:rsid w:val="00067F8C"/>
    <w:rsid w:val="000704AF"/>
    <w:rsid w:val="00074776"/>
    <w:rsid w:val="00091A19"/>
    <w:rsid w:val="00093689"/>
    <w:rsid w:val="000A551F"/>
    <w:rsid w:val="000A705C"/>
    <w:rsid w:val="000B1103"/>
    <w:rsid w:val="000B5E46"/>
    <w:rsid w:val="000C0D4C"/>
    <w:rsid w:val="000C17C9"/>
    <w:rsid w:val="000D63CC"/>
    <w:rsid w:val="000E3459"/>
    <w:rsid w:val="000E49D9"/>
    <w:rsid w:val="000F5697"/>
    <w:rsid w:val="00100CC5"/>
    <w:rsid w:val="001178EB"/>
    <w:rsid w:val="00120142"/>
    <w:rsid w:val="00122280"/>
    <w:rsid w:val="001420B4"/>
    <w:rsid w:val="00143EFF"/>
    <w:rsid w:val="00145917"/>
    <w:rsid w:val="00153144"/>
    <w:rsid w:val="00153611"/>
    <w:rsid w:val="001566D4"/>
    <w:rsid w:val="001769A0"/>
    <w:rsid w:val="00185012"/>
    <w:rsid w:val="001A2484"/>
    <w:rsid w:val="001A7900"/>
    <w:rsid w:val="001A7AF1"/>
    <w:rsid w:val="001B4090"/>
    <w:rsid w:val="001B45E6"/>
    <w:rsid w:val="001C1FE5"/>
    <w:rsid w:val="001D4EC5"/>
    <w:rsid w:val="001E26E6"/>
    <w:rsid w:val="001E2AEB"/>
    <w:rsid w:val="001F2B5F"/>
    <w:rsid w:val="001F6716"/>
    <w:rsid w:val="001F74D8"/>
    <w:rsid w:val="001F784F"/>
    <w:rsid w:val="00222059"/>
    <w:rsid w:val="00223969"/>
    <w:rsid w:val="0023317C"/>
    <w:rsid w:val="00234006"/>
    <w:rsid w:val="002343A1"/>
    <w:rsid w:val="00234D03"/>
    <w:rsid w:val="00235B23"/>
    <w:rsid w:val="002426D8"/>
    <w:rsid w:val="0024571D"/>
    <w:rsid w:val="002506DD"/>
    <w:rsid w:val="0025285B"/>
    <w:rsid w:val="002529A5"/>
    <w:rsid w:val="00263ED7"/>
    <w:rsid w:val="002646D9"/>
    <w:rsid w:val="00267289"/>
    <w:rsid w:val="0027366A"/>
    <w:rsid w:val="00286FA1"/>
    <w:rsid w:val="00287B81"/>
    <w:rsid w:val="00294B2B"/>
    <w:rsid w:val="00297EC8"/>
    <w:rsid w:val="002A408F"/>
    <w:rsid w:val="002B0859"/>
    <w:rsid w:val="002B261F"/>
    <w:rsid w:val="002C7A4F"/>
    <w:rsid w:val="002D2A03"/>
    <w:rsid w:val="002D5A75"/>
    <w:rsid w:val="002D6D08"/>
    <w:rsid w:val="002E199D"/>
    <w:rsid w:val="002E6710"/>
    <w:rsid w:val="002F2EF2"/>
    <w:rsid w:val="002F6804"/>
    <w:rsid w:val="002F7F82"/>
    <w:rsid w:val="00303D7D"/>
    <w:rsid w:val="00307BE8"/>
    <w:rsid w:val="003228AE"/>
    <w:rsid w:val="00326141"/>
    <w:rsid w:val="00330F0F"/>
    <w:rsid w:val="00345DDD"/>
    <w:rsid w:val="0035018A"/>
    <w:rsid w:val="00350275"/>
    <w:rsid w:val="003531EA"/>
    <w:rsid w:val="003573E8"/>
    <w:rsid w:val="0036520D"/>
    <w:rsid w:val="003652BD"/>
    <w:rsid w:val="00365474"/>
    <w:rsid w:val="0037098B"/>
    <w:rsid w:val="003850F4"/>
    <w:rsid w:val="003910D5"/>
    <w:rsid w:val="003958B6"/>
    <w:rsid w:val="003A066A"/>
    <w:rsid w:val="003A31D8"/>
    <w:rsid w:val="003A42EF"/>
    <w:rsid w:val="003A566D"/>
    <w:rsid w:val="003A7D89"/>
    <w:rsid w:val="003A7F6D"/>
    <w:rsid w:val="003A7F96"/>
    <w:rsid w:val="003B01C5"/>
    <w:rsid w:val="003C42C1"/>
    <w:rsid w:val="003D00B3"/>
    <w:rsid w:val="003D3AF8"/>
    <w:rsid w:val="003D417A"/>
    <w:rsid w:val="003E00F6"/>
    <w:rsid w:val="003E068C"/>
    <w:rsid w:val="003E2BA9"/>
    <w:rsid w:val="00401672"/>
    <w:rsid w:val="00401D30"/>
    <w:rsid w:val="00407BC4"/>
    <w:rsid w:val="0041271D"/>
    <w:rsid w:val="00413932"/>
    <w:rsid w:val="004179C5"/>
    <w:rsid w:val="00421B10"/>
    <w:rsid w:val="0042259B"/>
    <w:rsid w:val="00426AA5"/>
    <w:rsid w:val="00437155"/>
    <w:rsid w:val="00442B80"/>
    <w:rsid w:val="00446DDC"/>
    <w:rsid w:val="00447B5B"/>
    <w:rsid w:val="004525C1"/>
    <w:rsid w:val="004602C2"/>
    <w:rsid w:val="00460CCA"/>
    <w:rsid w:val="00461D96"/>
    <w:rsid w:val="00463E7E"/>
    <w:rsid w:val="00467B36"/>
    <w:rsid w:val="00477A6A"/>
    <w:rsid w:val="004B214C"/>
    <w:rsid w:val="004B627E"/>
    <w:rsid w:val="004B7135"/>
    <w:rsid w:val="004C002E"/>
    <w:rsid w:val="004C2FAE"/>
    <w:rsid w:val="004E5687"/>
    <w:rsid w:val="004F190C"/>
    <w:rsid w:val="004F508A"/>
    <w:rsid w:val="00505EA8"/>
    <w:rsid w:val="0051595A"/>
    <w:rsid w:val="00521547"/>
    <w:rsid w:val="005246F6"/>
    <w:rsid w:val="005466B5"/>
    <w:rsid w:val="00551B6E"/>
    <w:rsid w:val="00556EBC"/>
    <w:rsid w:val="00557A91"/>
    <w:rsid w:val="00565FDB"/>
    <w:rsid w:val="005716EC"/>
    <w:rsid w:val="00574114"/>
    <w:rsid w:val="00583483"/>
    <w:rsid w:val="0058379A"/>
    <w:rsid w:val="00587C08"/>
    <w:rsid w:val="00587D53"/>
    <w:rsid w:val="005959D1"/>
    <w:rsid w:val="00596E9C"/>
    <w:rsid w:val="005A07CF"/>
    <w:rsid w:val="005B004A"/>
    <w:rsid w:val="005C026C"/>
    <w:rsid w:val="005C3FA4"/>
    <w:rsid w:val="005C7591"/>
    <w:rsid w:val="005D316A"/>
    <w:rsid w:val="005D5BB5"/>
    <w:rsid w:val="005D7C59"/>
    <w:rsid w:val="005E18A2"/>
    <w:rsid w:val="005E1CF3"/>
    <w:rsid w:val="005E703F"/>
    <w:rsid w:val="005E7265"/>
    <w:rsid w:val="005E73D7"/>
    <w:rsid w:val="005E7F66"/>
    <w:rsid w:val="0060008B"/>
    <w:rsid w:val="006069DA"/>
    <w:rsid w:val="00617C78"/>
    <w:rsid w:val="00622BA7"/>
    <w:rsid w:val="00626BA2"/>
    <w:rsid w:val="00627019"/>
    <w:rsid w:val="006428F7"/>
    <w:rsid w:val="00652BE8"/>
    <w:rsid w:val="006538CE"/>
    <w:rsid w:val="00663797"/>
    <w:rsid w:val="006638F4"/>
    <w:rsid w:val="00671091"/>
    <w:rsid w:val="00671EB8"/>
    <w:rsid w:val="00680028"/>
    <w:rsid w:val="00692393"/>
    <w:rsid w:val="0069261F"/>
    <w:rsid w:val="006A5717"/>
    <w:rsid w:val="006A597D"/>
    <w:rsid w:val="006A7B96"/>
    <w:rsid w:val="006B584D"/>
    <w:rsid w:val="006B62EB"/>
    <w:rsid w:val="006C5225"/>
    <w:rsid w:val="006D177B"/>
    <w:rsid w:val="006D1CA4"/>
    <w:rsid w:val="006D5C14"/>
    <w:rsid w:val="006D60E8"/>
    <w:rsid w:val="006E18E6"/>
    <w:rsid w:val="006E426C"/>
    <w:rsid w:val="006F048F"/>
    <w:rsid w:val="006F48D6"/>
    <w:rsid w:val="006F6BEF"/>
    <w:rsid w:val="006F7F0A"/>
    <w:rsid w:val="00702147"/>
    <w:rsid w:val="00704691"/>
    <w:rsid w:val="007048BE"/>
    <w:rsid w:val="00705634"/>
    <w:rsid w:val="007114D1"/>
    <w:rsid w:val="00711707"/>
    <w:rsid w:val="00722C95"/>
    <w:rsid w:val="00741C61"/>
    <w:rsid w:val="007421A3"/>
    <w:rsid w:val="00743A20"/>
    <w:rsid w:val="00743B99"/>
    <w:rsid w:val="00744EEC"/>
    <w:rsid w:val="00746129"/>
    <w:rsid w:val="00746ABD"/>
    <w:rsid w:val="00747C14"/>
    <w:rsid w:val="00747DFD"/>
    <w:rsid w:val="007534A1"/>
    <w:rsid w:val="00754302"/>
    <w:rsid w:val="00754CE0"/>
    <w:rsid w:val="0075718E"/>
    <w:rsid w:val="00771096"/>
    <w:rsid w:val="007719BE"/>
    <w:rsid w:val="007720A3"/>
    <w:rsid w:val="007742BE"/>
    <w:rsid w:val="00774813"/>
    <w:rsid w:val="007767A0"/>
    <w:rsid w:val="00787317"/>
    <w:rsid w:val="0079563E"/>
    <w:rsid w:val="007B0913"/>
    <w:rsid w:val="007B371E"/>
    <w:rsid w:val="007D06FE"/>
    <w:rsid w:val="007D793D"/>
    <w:rsid w:val="007E3DF3"/>
    <w:rsid w:val="007F35EA"/>
    <w:rsid w:val="007F681E"/>
    <w:rsid w:val="00800931"/>
    <w:rsid w:val="00800D3C"/>
    <w:rsid w:val="008044DE"/>
    <w:rsid w:val="008101E7"/>
    <w:rsid w:val="00820CC3"/>
    <w:rsid w:val="00823EC5"/>
    <w:rsid w:val="00823ED7"/>
    <w:rsid w:val="00843902"/>
    <w:rsid w:val="00852964"/>
    <w:rsid w:val="00861CFF"/>
    <w:rsid w:val="00864C13"/>
    <w:rsid w:val="0087238B"/>
    <w:rsid w:val="00883691"/>
    <w:rsid w:val="00886688"/>
    <w:rsid w:val="008918F8"/>
    <w:rsid w:val="008A56AD"/>
    <w:rsid w:val="008A6FCC"/>
    <w:rsid w:val="008B33AF"/>
    <w:rsid w:val="008B5F7C"/>
    <w:rsid w:val="008B67E1"/>
    <w:rsid w:val="008B7CD3"/>
    <w:rsid w:val="008C6652"/>
    <w:rsid w:val="008C7940"/>
    <w:rsid w:val="008D34F1"/>
    <w:rsid w:val="008D7E1D"/>
    <w:rsid w:val="008E098F"/>
    <w:rsid w:val="008E26C7"/>
    <w:rsid w:val="008E4B80"/>
    <w:rsid w:val="008E54E1"/>
    <w:rsid w:val="008F0CF4"/>
    <w:rsid w:val="008F1B86"/>
    <w:rsid w:val="00904746"/>
    <w:rsid w:val="00904A4F"/>
    <w:rsid w:val="00913063"/>
    <w:rsid w:val="009153D0"/>
    <w:rsid w:val="00920599"/>
    <w:rsid w:val="00922F52"/>
    <w:rsid w:val="00927459"/>
    <w:rsid w:val="009303B4"/>
    <w:rsid w:val="00940712"/>
    <w:rsid w:val="00944428"/>
    <w:rsid w:val="00951815"/>
    <w:rsid w:val="0095199F"/>
    <w:rsid w:val="00951D4C"/>
    <w:rsid w:val="009535FF"/>
    <w:rsid w:val="00954668"/>
    <w:rsid w:val="00955434"/>
    <w:rsid w:val="00956A2B"/>
    <w:rsid w:val="0096001C"/>
    <w:rsid w:val="00967B48"/>
    <w:rsid w:val="00970878"/>
    <w:rsid w:val="00974CAF"/>
    <w:rsid w:val="00977B04"/>
    <w:rsid w:val="009806F2"/>
    <w:rsid w:val="009809F5"/>
    <w:rsid w:val="00981FA9"/>
    <w:rsid w:val="00986F3A"/>
    <w:rsid w:val="009A2103"/>
    <w:rsid w:val="009A5666"/>
    <w:rsid w:val="009B3273"/>
    <w:rsid w:val="009B628F"/>
    <w:rsid w:val="009D0F5F"/>
    <w:rsid w:val="009D2362"/>
    <w:rsid w:val="009D39F7"/>
    <w:rsid w:val="009D7C6F"/>
    <w:rsid w:val="009E0829"/>
    <w:rsid w:val="009E0988"/>
    <w:rsid w:val="009E6E07"/>
    <w:rsid w:val="009F1C94"/>
    <w:rsid w:val="009F6BDD"/>
    <w:rsid w:val="009F70E6"/>
    <w:rsid w:val="00A01967"/>
    <w:rsid w:val="00A33EFD"/>
    <w:rsid w:val="00A35996"/>
    <w:rsid w:val="00A403CB"/>
    <w:rsid w:val="00A41793"/>
    <w:rsid w:val="00A42F87"/>
    <w:rsid w:val="00A455CF"/>
    <w:rsid w:val="00A45811"/>
    <w:rsid w:val="00A466AF"/>
    <w:rsid w:val="00A46CE8"/>
    <w:rsid w:val="00A5058D"/>
    <w:rsid w:val="00A52C6E"/>
    <w:rsid w:val="00A62080"/>
    <w:rsid w:val="00A6413F"/>
    <w:rsid w:val="00A657DB"/>
    <w:rsid w:val="00A72D8B"/>
    <w:rsid w:val="00A72ECF"/>
    <w:rsid w:val="00A90484"/>
    <w:rsid w:val="00A90EC5"/>
    <w:rsid w:val="00A922FA"/>
    <w:rsid w:val="00A97B6C"/>
    <w:rsid w:val="00AA3907"/>
    <w:rsid w:val="00AA4B12"/>
    <w:rsid w:val="00AA4B91"/>
    <w:rsid w:val="00AB2E7E"/>
    <w:rsid w:val="00AB337D"/>
    <w:rsid w:val="00AB4BCC"/>
    <w:rsid w:val="00AB4D84"/>
    <w:rsid w:val="00AD3C8D"/>
    <w:rsid w:val="00AD488B"/>
    <w:rsid w:val="00AD6F29"/>
    <w:rsid w:val="00AD7B8F"/>
    <w:rsid w:val="00AE41EA"/>
    <w:rsid w:val="00AE4D78"/>
    <w:rsid w:val="00AF2E13"/>
    <w:rsid w:val="00AF5E63"/>
    <w:rsid w:val="00AF7EE7"/>
    <w:rsid w:val="00B05642"/>
    <w:rsid w:val="00B06E6F"/>
    <w:rsid w:val="00B12D9A"/>
    <w:rsid w:val="00B1314E"/>
    <w:rsid w:val="00B1366D"/>
    <w:rsid w:val="00B14FB9"/>
    <w:rsid w:val="00B15302"/>
    <w:rsid w:val="00B318E8"/>
    <w:rsid w:val="00B31E2F"/>
    <w:rsid w:val="00B3290F"/>
    <w:rsid w:val="00B32B01"/>
    <w:rsid w:val="00B42193"/>
    <w:rsid w:val="00B64855"/>
    <w:rsid w:val="00B744F1"/>
    <w:rsid w:val="00B86926"/>
    <w:rsid w:val="00B86C74"/>
    <w:rsid w:val="00B878AA"/>
    <w:rsid w:val="00B93C2C"/>
    <w:rsid w:val="00BA4CA6"/>
    <w:rsid w:val="00BA5C14"/>
    <w:rsid w:val="00BA6B4A"/>
    <w:rsid w:val="00BC377A"/>
    <w:rsid w:val="00BC6356"/>
    <w:rsid w:val="00BD4EB2"/>
    <w:rsid w:val="00BD56F1"/>
    <w:rsid w:val="00BD6F18"/>
    <w:rsid w:val="00BF15A9"/>
    <w:rsid w:val="00BF3D29"/>
    <w:rsid w:val="00BF4694"/>
    <w:rsid w:val="00BF641F"/>
    <w:rsid w:val="00BF6965"/>
    <w:rsid w:val="00C05FFD"/>
    <w:rsid w:val="00C1387B"/>
    <w:rsid w:val="00C17186"/>
    <w:rsid w:val="00C176E5"/>
    <w:rsid w:val="00C234CC"/>
    <w:rsid w:val="00C278CC"/>
    <w:rsid w:val="00C33995"/>
    <w:rsid w:val="00C356B4"/>
    <w:rsid w:val="00C35FD2"/>
    <w:rsid w:val="00C41725"/>
    <w:rsid w:val="00C4194B"/>
    <w:rsid w:val="00C41ABE"/>
    <w:rsid w:val="00C41EC1"/>
    <w:rsid w:val="00C42994"/>
    <w:rsid w:val="00C47D7F"/>
    <w:rsid w:val="00C53BCB"/>
    <w:rsid w:val="00C55B4B"/>
    <w:rsid w:val="00C572BA"/>
    <w:rsid w:val="00C7138F"/>
    <w:rsid w:val="00C72352"/>
    <w:rsid w:val="00C75971"/>
    <w:rsid w:val="00C76A17"/>
    <w:rsid w:val="00C83CD9"/>
    <w:rsid w:val="00C85962"/>
    <w:rsid w:val="00C91235"/>
    <w:rsid w:val="00C917D9"/>
    <w:rsid w:val="00C941E4"/>
    <w:rsid w:val="00C94A54"/>
    <w:rsid w:val="00CA123B"/>
    <w:rsid w:val="00CA2F8E"/>
    <w:rsid w:val="00CB1E80"/>
    <w:rsid w:val="00CB61EF"/>
    <w:rsid w:val="00CC18FB"/>
    <w:rsid w:val="00CD7B9D"/>
    <w:rsid w:val="00CE1C60"/>
    <w:rsid w:val="00CE355A"/>
    <w:rsid w:val="00CE3D56"/>
    <w:rsid w:val="00CE4C54"/>
    <w:rsid w:val="00CE5BE4"/>
    <w:rsid w:val="00CE65D3"/>
    <w:rsid w:val="00CF2271"/>
    <w:rsid w:val="00CF6F09"/>
    <w:rsid w:val="00D00DD1"/>
    <w:rsid w:val="00D0592E"/>
    <w:rsid w:val="00D1247E"/>
    <w:rsid w:val="00D130AB"/>
    <w:rsid w:val="00D13680"/>
    <w:rsid w:val="00D14C99"/>
    <w:rsid w:val="00D22059"/>
    <w:rsid w:val="00D30C99"/>
    <w:rsid w:val="00D35A15"/>
    <w:rsid w:val="00D36784"/>
    <w:rsid w:val="00D37A40"/>
    <w:rsid w:val="00D4271B"/>
    <w:rsid w:val="00D44942"/>
    <w:rsid w:val="00D54FB8"/>
    <w:rsid w:val="00D60BF7"/>
    <w:rsid w:val="00D74F22"/>
    <w:rsid w:val="00D7748C"/>
    <w:rsid w:val="00D77F8C"/>
    <w:rsid w:val="00D8365B"/>
    <w:rsid w:val="00D87CF0"/>
    <w:rsid w:val="00DA4273"/>
    <w:rsid w:val="00DA53AD"/>
    <w:rsid w:val="00DA7CE6"/>
    <w:rsid w:val="00DB0E56"/>
    <w:rsid w:val="00DC5E5A"/>
    <w:rsid w:val="00DD0229"/>
    <w:rsid w:val="00DD1AB8"/>
    <w:rsid w:val="00DD1D41"/>
    <w:rsid w:val="00DD1F2F"/>
    <w:rsid w:val="00DD2051"/>
    <w:rsid w:val="00DD25EA"/>
    <w:rsid w:val="00DD33CB"/>
    <w:rsid w:val="00DD347B"/>
    <w:rsid w:val="00DE58C2"/>
    <w:rsid w:val="00DE58DC"/>
    <w:rsid w:val="00DF0FC0"/>
    <w:rsid w:val="00DF6127"/>
    <w:rsid w:val="00DF6F98"/>
    <w:rsid w:val="00DF753B"/>
    <w:rsid w:val="00E006E6"/>
    <w:rsid w:val="00E01455"/>
    <w:rsid w:val="00E078A5"/>
    <w:rsid w:val="00E10D92"/>
    <w:rsid w:val="00E12BCF"/>
    <w:rsid w:val="00E1355B"/>
    <w:rsid w:val="00E13AEA"/>
    <w:rsid w:val="00E1509D"/>
    <w:rsid w:val="00E23472"/>
    <w:rsid w:val="00E37EAB"/>
    <w:rsid w:val="00E43C14"/>
    <w:rsid w:val="00E4604C"/>
    <w:rsid w:val="00E46A63"/>
    <w:rsid w:val="00E541F1"/>
    <w:rsid w:val="00E619F6"/>
    <w:rsid w:val="00E61D58"/>
    <w:rsid w:val="00E65183"/>
    <w:rsid w:val="00E83F78"/>
    <w:rsid w:val="00E85854"/>
    <w:rsid w:val="00E919B9"/>
    <w:rsid w:val="00E94B1B"/>
    <w:rsid w:val="00E95913"/>
    <w:rsid w:val="00EB053B"/>
    <w:rsid w:val="00EB4CF2"/>
    <w:rsid w:val="00EB4DC0"/>
    <w:rsid w:val="00EB6741"/>
    <w:rsid w:val="00EC2561"/>
    <w:rsid w:val="00EC772D"/>
    <w:rsid w:val="00ED6EE6"/>
    <w:rsid w:val="00EE0D1A"/>
    <w:rsid w:val="00EE1F8E"/>
    <w:rsid w:val="00F000A8"/>
    <w:rsid w:val="00F00AD8"/>
    <w:rsid w:val="00F039AD"/>
    <w:rsid w:val="00F073CA"/>
    <w:rsid w:val="00F109A7"/>
    <w:rsid w:val="00F13448"/>
    <w:rsid w:val="00F16F46"/>
    <w:rsid w:val="00F24DE7"/>
    <w:rsid w:val="00F30CDA"/>
    <w:rsid w:val="00F32F96"/>
    <w:rsid w:val="00F3670E"/>
    <w:rsid w:val="00F41F10"/>
    <w:rsid w:val="00F61CCF"/>
    <w:rsid w:val="00F638EC"/>
    <w:rsid w:val="00F64715"/>
    <w:rsid w:val="00F709FB"/>
    <w:rsid w:val="00F70C1F"/>
    <w:rsid w:val="00F70C3B"/>
    <w:rsid w:val="00F77D0E"/>
    <w:rsid w:val="00F83831"/>
    <w:rsid w:val="00F84658"/>
    <w:rsid w:val="00F87851"/>
    <w:rsid w:val="00F90C69"/>
    <w:rsid w:val="00F973AA"/>
    <w:rsid w:val="00FA02A8"/>
    <w:rsid w:val="00FA0F96"/>
    <w:rsid w:val="00FA7F21"/>
    <w:rsid w:val="00FB586F"/>
    <w:rsid w:val="00FC0BD0"/>
    <w:rsid w:val="00FC27F7"/>
    <w:rsid w:val="00FC6CB1"/>
    <w:rsid w:val="00FD049A"/>
    <w:rsid w:val="00FD164A"/>
    <w:rsid w:val="00FD6C63"/>
    <w:rsid w:val="00FE372E"/>
    <w:rsid w:val="00FE491A"/>
    <w:rsid w:val="00FE5916"/>
    <w:rsid w:val="00FE62FB"/>
    <w:rsid w:val="00FE7ECD"/>
    <w:rsid w:val="00FF76A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6D4CB"/>
  <w15:chartTrackingRefBased/>
  <w15:docId w15:val="{54DEB844-F6E1-496E-8144-68B0A1A9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B1B"/>
    <w:pPr>
      <w:spacing w:line="260" w:lineRule="atLeast"/>
      <w:jc w:val="both"/>
    </w:pPr>
    <w:rPr>
      <w:rFonts w:ascii="Palatino Linotype" w:hAnsi="Palatino Linotype"/>
      <w:noProof/>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E94B1B"/>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94B1B"/>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94B1B"/>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94B1B"/>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94B1B"/>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94B1B"/>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94B1B"/>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94B1B"/>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74612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E94B1B"/>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E94B1B"/>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E94B1B"/>
    <w:rPr>
      <w:rFonts w:ascii="Palatino Linotype" w:hAnsi="Palatino Linotype"/>
      <w:noProof/>
      <w:color w:val="000000"/>
      <w:szCs w:val="18"/>
    </w:rPr>
  </w:style>
  <w:style w:type="paragraph" w:styleId="En-tte">
    <w:name w:val="header"/>
    <w:basedOn w:val="Normal"/>
    <w:link w:val="En-tteCar"/>
    <w:uiPriority w:val="99"/>
    <w:rsid w:val="00E94B1B"/>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E94B1B"/>
    <w:rPr>
      <w:rFonts w:ascii="Palatino Linotype" w:hAnsi="Palatino Linotype"/>
      <w:noProof/>
      <w:color w:val="000000"/>
      <w:szCs w:val="18"/>
    </w:rPr>
  </w:style>
  <w:style w:type="paragraph" w:customStyle="1" w:styleId="MDPIheaderjournallogo">
    <w:name w:val="MDPI_header_journal_logo"/>
    <w:qFormat/>
    <w:rsid w:val="00E94B1B"/>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94B1B"/>
    <w:pPr>
      <w:ind w:firstLine="0"/>
    </w:pPr>
  </w:style>
  <w:style w:type="paragraph" w:customStyle="1" w:styleId="MDPI31text">
    <w:name w:val="MDPI_3.1_text"/>
    <w:qFormat/>
    <w:rsid w:val="008F0CF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94B1B"/>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94B1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94B1B"/>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94B1B"/>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94B1B"/>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94B1B"/>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94B1B"/>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94B1B"/>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70C3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94B1B"/>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94B1B"/>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E94B1B"/>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E94B1B"/>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94B1B"/>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94B1B"/>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94B1B"/>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A4CA6"/>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E94B1B"/>
    <w:rPr>
      <w:rFonts w:cs="Tahoma"/>
      <w:szCs w:val="18"/>
    </w:rPr>
  </w:style>
  <w:style w:type="character" w:customStyle="1" w:styleId="TextedebullesCar">
    <w:name w:val="Texte de bulles Car"/>
    <w:link w:val="Textedebulles"/>
    <w:uiPriority w:val="99"/>
    <w:rsid w:val="00E94B1B"/>
    <w:rPr>
      <w:rFonts w:ascii="Palatino Linotype" w:hAnsi="Palatino Linotype" w:cs="Tahoma"/>
      <w:noProof/>
      <w:color w:val="000000"/>
      <w:szCs w:val="18"/>
    </w:rPr>
  </w:style>
  <w:style w:type="character" w:styleId="Numrodeligne">
    <w:name w:val="line number"/>
    <w:uiPriority w:val="99"/>
    <w:rsid w:val="00A90484"/>
    <w:rPr>
      <w:rFonts w:ascii="Palatino Linotype" w:hAnsi="Palatino Linotype"/>
      <w:sz w:val="16"/>
    </w:rPr>
  </w:style>
  <w:style w:type="table" w:customStyle="1" w:styleId="MDPI41threelinetable">
    <w:name w:val="MDPI_4.1_three_line_table"/>
    <w:basedOn w:val="TableauNormal"/>
    <w:uiPriority w:val="99"/>
    <w:rsid w:val="00E94B1B"/>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E94B1B"/>
    <w:rPr>
      <w:color w:val="0000FF"/>
      <w:u w:val="single"/>
    </w:rPr>
  </w:style>
  <w:style w:type="character" w:styleId="Mentionnonrsolue">
    <w:name w:val="Unresolved Mention"/>
    <w:uiPriority w:val="99"/>
    <w:semiHidden/>
    <w:unhideWhenUsed/>
    <w:rsid w:val="008C7940"/>
    <w:rPr>
      <w:color w:val="605E5C"/>
      <w:shd w:val="clear" w:color="auto" w:fill="E1DFDD"/>
    </w:rPr>
  </w:style>
  <w:style w:type="table" w:styleId="Tableausimple4">
    <w:name w:val="Plain Table 4"/>
    <w:basedOn w:val="TableauNormal"/>
    <w:uiPriority w:val="44"/>
    <w:rsid w:val="006F6B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E94B1B"/>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E94B1B"/>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94B1B"/>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E94B1B"/>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94B1B"/>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94B1B"/>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E94B1B"/>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94B1B"/>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94B1B"/>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94B1B"/>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94B1B"/>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94B1B"/>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94B1B"/>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94B1B"/>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94B1B"/>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94B1B"/>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94B1B"/>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auNormal"/>
    <w:uiPriority w:val="99"/>
    <w:rsid w:val="00E94B1B"/>
    <w:rPr>
      <w:rFonts w:ascii="Palatino Linotype" w:hAnsi="Palatino Linotype"/>
      <w:color w:val="000000"/>
      <w:lang w:eastAsia="en-US"/>
    </w:rPr>
    <w:tblPr>
      <w:tblCellMar>
        <w:left w:w="0" w:type="dxa"/>
        <w:right w:w="0" w:type="dxa"/>
      </w:tblCellMar>
    </w:tblPr>
  </w:style>
  <w:style w:type="paragraph" w:customStyle="1" w:styleId="MDPItext">
    <w:name w:val="MDPI_text"/>
    <w:qFormat/>
    <w:rsid w:val="00E94B1B"/>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94B1B"/>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94B1B"/>
  </w:style>
  <w:style w:type="paragraph" w:styleId="Bibliographie">
    <w:name w:val="Bibliography"/>
    <w:basedOn w:val="Normal"/>
    <w:next w:val="Normal"/>
    <w:uiPriority w:val="37"/>
    <w:semiHidden/>
    <w:unhideWhenUsed/>
    <w:rsid w:val="00E94B1B"/>
  </w:style>
  <w:style w:type="paragraph" w:styleId="Corpsdetexte">
    <w:name w:val="Body Text"/>
    <w:link w:val="CorpsdetexteCar"/>
    <w:rsid w:val="00E94B1B"/>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E94B1B"/>
    <w:rPr>
      <w:rFonts w:ascii="Palatino Linotype" w:hAnsi="Palatino Linotype"/>
      <w:color w:val="000000"/>
      <w:sz w:val="24"/>
      <w:lang w:eastAsia="de-DE"/>
    </w:rPr>
  </w:style>
  <w:style w:type="character" w:styleId="Marquedecommentaire">
    <w:name w:val="annotation reference"/>
    <w:rsid w:val="00E94B1B"/>
    <w:rPr>
      <w:sz w:val="21"/>
      <w:szCs w:val="21"/>
    </w:rPr>
  </w:style>
  <w:style w:type="paragraph" w:styleId="Commentaire">
    <w:name w:val="annotation text"/>
    <w:basedOn w:val="Normal"/>
    <w:link w:val="CommentaireCar"/>
    <w:rsid w:val="00E94B1B"/>
  </w:style>
  <w:style w:type="character" w:customStyle="1" w:styleId="CommentaireCar">
    <w:name w:val="Commentaire Car"/>
    <w:link w:val="Commentaire"/>
    <w:rsid w:val="00E94B1B"/>
    <w:rPr>
      <w:rFonts w:ascii="Palatino Linotype" w:hAnsi="Palatino Linotype"/>
      <w:noProof/>
      <w:color w:val="000000"/>
    </w:rPr>
  </w:style>
  <w:style w:type="paragraph" w:styleId="Objetducommentaire">
    <w:name w:val="annotation subject"/>
    <w:basedOn w:val="Commentaire"/>
    <w:next w:val="Commentaire"/>
    <w:link w:val="ObjetducommentaireCar"/>
    <w:rsid w:val="00E94B1B"/>
    <w:rPr>
      <w:b/>
      <w:bCs/>
    </w:rPr>
  </w:style>
  <w:style w:type="character" w:customStyle="1" w:styleId="ObjetducommentaireCar">
    <w:name w:val="Objet du commentaire Car"/>
    <w:link w:val="Objetducommentaire"/>
    <w:rsid w:val="00E94B1B"/>
    <w:rPr>
      <w:rFonts w:ascii="Palatino Linotype" w:hAnsi="Palatino Linotype"/>
      <w:b/>
      <w:bCs/>
      <w:noProof/>
      <w:color w:val="000000"/>
    </w:rPr>
  </w:style>
  <w:style w:type="character" w:styleId="Appeldenotedefin">
    <w:name w:val="endnote reference"/>
    <w:rsid w:val="00E94B1B"/>
    <w:rPr>
      <w:vertAlign w:val="superscript"/>
    </w:rPr>
  </w:style>
  <w:style w:type="paragraph" w:styleId="Notedefin">
    <w:name w:val="endnote text"/>
    <w:basedOn w:val="Normal"/>
    <w:link w:val="NotedefinCar"/>
    <w:semiHidden/>
    <w:unhideWhenUsed/>
    <w:rsid w:val="00E94B1B"/>
    <w:pPr>
      <w:spacing w:line="240" w:lineRule="auto"/>
    </w:pPr>
  </w:style>
  <w:style w:type="character" w:customStyle="1" w:styleId="NotedefinCar">
    <w:name w:val="Note de fin Car"/>
    <w:link w:val="Notedefin"/>
    <w:semiHidden/>
    <w:rsid w:val="00E94B1B"/>
    <w:rPr>
      <w:rFonts w:ascii="Palatino Linotype" w:hAnsi="Palatino Linotype"/>
      <w:noProof/>
      <w:color w:val="000000"/>
    </w:rPr>
  </w:style>
  <w:style w:type="character" w:styleId="Lienhypertextesuivivisit">
    <w:name w:val="FollowedHyperlink"/>
    <w:rsid w:val="00E94B1B"/>
    <w:rPr>
      <w:color w:val="954F72"/>
      <w:u w:val="single"/>
    </w:rPr>
  </w:style>
  <w:style w:type="paragraph" w:styleId="Notedebasdepage">
    <w:name w:val="footnote text"/>
    <w:basedOn w:val="Normal"/>
    <w:link w:val="NotedebasdepageCar"/>
    <w:semiHidden/>
    <w:unhideWhenUsed/>
    <w:rsid w:val="00E94B1B"/>
    <w:pPr>
      <w:spacing w:line="240" w:lineRule="auto"/>
    </w:pPr>
  </w:style>
  <w:style w:type="character" w:customStyle="1" w:styleId="NotedebasdepageCar">
    <w:name w:val="Note de bas de page Car"/>
    <w:link w:val="Notedebasdepage"/>
    <w:semiHidden/>
    <w:rsid w:val="00E94B1B"/>
    <w:rPr>
      <w:rFonts w:ascii="Palatino Linotype" w:hAnsi="Palatino Linotype"/>
      <w:noProof/>
      <w:color w:val="000000"/>
    </w:rPr>
  </w:style>
  <w:style w:type="paragraph" w:styleId="NormalWeb">
    <w:name w:val="Normal (Web)"/>
    <w:basedOn w:val="Normal"/>
    <w:uiPriority w:val="99"/>
    <w:rsid w:val="00E94B1B"/>
    <w:rPr>
      <w:szCs w:val="24"/>
    </w:rPr>
  </w:style>
  <w:style w:type="paragraph" w:customStyle="1" w:styleId="MsoFootnoteText0">
    <w:name w:val="MsoFootnoteText"/>
    <w:basedOn w:val="NormalWeb"/>
    <w:qFormat/>
    <w:rsid w:val="00E94B1B"/>
    <w:rPr>
      <w:rFonts w:ascii="Times New Roman" w:hAnsi="Times New Roman"/>
    </w:rPr>
  </w:style>
  <w:style w:type="character" w:styleId="Numrodepage">
    <w:name w:val="page number"/>
    <w:rsid w:val="00E94B1B"/>
  </w:style>
  <w:style w:type="character" w:styleId="Textedelespacerserv">
    <w:name w:val="Placeholder Text"/>
    <w:uiPriority w:val="99"/>
    <w:semiHidden/>
    <w:rsid w:val="00E94B1B"/>
    <w:rPr>
      <w:color w:val="808080"/>
    </w:rPr>
  </w:style>
  <w:style w:type="paragraph" w:customStyle="1" w:styleId="Afig">
    <w:name w:val="Afig"/>
    <w:basedOn w:val="Listecontinue"/>
    <w:next w:val="Normal"/>
    <w:link w:val="AfigCar"/>
    <w:autoRedefine/>
    <w:qFormat/>
    <w:rsid w:val="000213F0"/>
    <w:pPr>
      <w:spacing w:after="240" w:line="240" w:lineRule="auto"/>
      <w:ind w:left="0"/>
      <w:contextualSpacing w:val="0"/>
    </w:pPr>
    <w:rPr>
      <w:rFonts w:ascii="Times New Roman" w:eastAsia="Times New Roman" w:hAnsi="Times New Roman"/>
      <w:bCs/>
      <w:noProof w:val="0"/>
      <w:color w:val="auto"/>
      <w:sz w:val="22"/>
      <w:szCs w:val="22"/>
      <w:lang w:val="fr-FR" w:eastAsia="en-CA"/>
    </w:rPr>
  </w:style>
  <w:style w:type="character" w:customStyle="1" w:styleId="AfigCar">
    <w:name w:val="Afig Car"/>
    <w:link w:val="Afig"/>
    <w:rsid w:val="000213F0"/>
    <w:rPr>
      <w:rFonts w:ascii="Times New Roman" w:eastAsia="Times New Roman" w:hAnsi="Times New Roman"/>
      <w:bCs/>
      <w:sz w:val="22"/>
      <w:szCs w:val="22"/>
      <w:lang w:val="fr-FR"/>
    </w:rPr>
  </w:style>
  <w:style w:type="paragraph" w:styleId="Listecontinue">
    <w:name w:val="List Continue"/>
    <w:basedOn w:val="Normal"/>
    <w:uiPriority w:val="99"/>
    <w:semiHidden/>
    <w:unhideWhenUsed/>
    <w:rsid w:val="000213F0"/>
    <w:pPr>
      <w:spacing w:after="120"/>
      <w:ind w:left="283"/>
      <w:contextualSpacing/>
    </w:pPr>
  </w:style>
  <w:style w:type="paragraph" w:styleId="Rvision">
    <w:name w:val="Revision"/>
    <w:hidden/>
    <w:uiPriority w:val="99"/>
    <w:semiHidden/>
    <w:rsid w:val="00CE1C60"/>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45286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7.png"/><Relationship Id="rId30" Type="http://schemas.openxmlformats.org/officeDocument/2006/relationships/header" Target="header5.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yzo\AppData\Local\Temp\water-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5134B-F2C5-4F9D-9E65-7035D848C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water-template.dot</Template>
  <TotalTime>360</TotalTime>
  <Pages>25</Pages>
  <Words>11903</Words>
  <Characters>67849</Characters>
  <Application>Microsoft Office Word</Application>
  <DocSecurity>0</DocSecurity>
  <Lines>565</Lines>
  <Paragraphs>159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Guillaume Meyzonnat</dc:creator>
  <cp:keywords/>
  <dc:description/>
  <cp:lastModifiedBy>Guillaume Meyzonnat</cp:lastModifiedBy>
  <cp:revision>37</cp:revision>
  <cp:lastPrinted>2021-06-28T14:31:00Z</cp:lastPrinted>
  <dcterms:created xsi:type="dcterms:W3CDTF">2021-06-28T16:55:00Z</dcterms:created>
  <dcterms:modified xsi:type="dcterms:W3CDTF">2021-06-29T01:18:00Z</dcterms:modified>
</cp:coreProperties>
</file>